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张家口市人民代表大会常务委员会办公室</w:t>
      </w: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所属单位</w:t>
      </w:r>
      <w:r>
        <w:rPr>
          <w:rFonts w:ascii="黑体" w:hAnsi="黑体" w:eastAsia="黑体" w:cs="黑体"/>
          <w:b/>
          <w:color w:val="000000"/>
          <w:sz w:val="44"/>
          <w:szCs w:val="44"/>
        </w:rPr>
        <w:t>2022年</w:t>
      </w:r>
      <w:r>
        <w:rPr>
          <w:rFonts w:hint="eastAsia" w:ascii="黑体" w:hAnsi="黑体" w:eastAsia="黑体" w:cs="黑体"/>
          <w:b/>
          <w:color w:val="000000"/>
          <w:sz w:val="44"/>
          <w:szCs w:val="44"/>
          <w:lang w:eastAsia="zh-CN"/>
        </w:rPr>
        <w:t>单位</w:t>
      </w:r>
      <w:r>
        <w:rPr>
          <w:rFonts w:ascii="黑体" w:hAnsi="黑体" w:eastAsia="黑体" w:cs="黑体"/>
          <w:b/>
          <w:color w:val="000000"/>
          <w:sz w:val="44"/>
          <w:szCs w:val="44"/>
        </w:rPr>
        <w:t>预算信息公开</w:t>
      </w:r>
    </w:p>
    <w:p>
      <w:pPr>
        <w:jc w:val="center"/>
        <w:rPr>
          <w:rFonts w:hint="eastAsia"/>
          <w:sz w:val="44"/>
          <w:szCs w:val="44"/>
          <w:lang w:eastAsia="zh-CN"/>
        </w:rPr>
      </w:pPr>
    </w:p>
    <w:p>
      <w:pPr>
        <w:pStyle w:val="9"/>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张家口市人民代表大会常务委员会办公室本级收支预算</w:t>
      </w:r>
      <w:r>
        <w:tab/>
      </w:r>
      <w:r>
        <w:rPr>
          <w:rFonts w:hint="eastAsia" w:eastAsiaTheme="minorEastAsia"/>
          <w:lang w:eastAsia="zh-CN"/>
        </w:rPr>
        <w:t>2</w:t>
      </w:r>
      <w:r>
        <w:rPr>
          <w:rFonts w:hint="eastAsia" w:eastAsiaTheme="minorEastAsia"/>
          <w:lang w:eastAsia="zh-CN"/>
        </w:rPr>
        <w:fldChar w:fldCharType="end"/>
      </w:r>
    </w:p>
    <w:p>
      <w:pPr>
        <w:jc w:val="center"/>
        <w:outlineLvl w:val="3"/>
        <w:rPr>
          <w:rFonts w:hint="eastAsia" w:eastAsiaTheme="minorEastAsia"/>
          <w:lang w:eastAsia="zh-CN"/>
        </w:rPr>
      </w:pPr>
      <w:r>
        <w:fldChar w:fldCharType="end"/>
      </w: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rPr>
          <w:rFonts w:hint="eastAsia" w:eastAsiaTheme="minorEastAsia"/>
          <w:lang w:eastAsia="zh-CN"/>
        </w:rPr>
      </w:pPr>
    </w:p>
    <w:p>
      <w:pPr>
        <w:jc w:val="center"/>
        <w:outlineLvl w:val="3"/>
      </w:pPr>
      <w:r>
        <w:rPr>
          <w:rFonts w:ascii="方正小标宋_GBK" w:hAnsi="方正小标宋_GBK" w:eastAsia="方正小标宋_GBK" w:cs="方正小标宋_GBK"/>
          <w:color w:val="000000"/>
          <w:sz w:val="44"/>
        </w:rPr>
        <w:t>张家口市人民代表大会常务委员会办公室本级收支预算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2100.32</w:t>
            </w:r>
          </w:p>
        </w:tc>
        <w:tc>
          <w:tcPr>
            <w:tcW w:w="4535" w:type="dxa"/>
            <w:vAlign w:val="center"/>
          </w:tcPr>
          <w:p>
            <w:pPr>
              <w:pStyle w:val="15"/>
            </w:pPr>
            <w:r>
              <w:t>一、一般公共服务支出</w:t>
            </w:r>
          </w:p>
        </w:tc>
        <w:tc>
          <w:tcPr>
            <w:tcW w:w="2126" w:type="dxa"/>
            <w:vAlign w:val="center"/>
          </w:tcPr>
          <w:p>
            <w:pPr>
              <w:pStyle w:val="14"/>
            </w:pPr>
            <w:r>
              <w:t>1604.63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293.67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79.52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2100.32</w:t>
            </w:r>
          </w:p>
        </w:tc>
        <w:tc>
          <w:tcPr>
            <w:tcW w:w="4535" w:type="dxa"/>
            <w:vAlign w:val="center"/>
          </w:tcPr>
          <w:p>
            <w:pPr>
              <w:pStyle w:val="17"/>
            </w:pPr>
            <w:r>
              <w:t>本年支出合计</w:t>
            </w:r>
          </w:p>
        </w:tc>
        <w:tc>
          <w:tcPr>
            <w:tcW w:w="2126" w:type="dxa"/>
            <w:vAlign w:val="center"/>
          </w:tcPr>
          <w:p>
            <w:pPr>
              <w:pStyle w:val="18"/>
            </w:pPr>
            <w:r>
              <w:t>2100.32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2100.32</w:t>
            </w:r>
          </w:p>
        </w:tc>
        <w:tc>
          <w:tcPr>
            <w:tcW w:w="4535" w:type="dxa"/>
            <w:vAlign w:val="center"/>
          </w:tcPr>
          <w:p>
            <w:pPr>
              <w:pStyle w:val="17"/>
            </w:pPr>
            <w:r>
              <w:t>支出总计</w:t>
            </w:r>
          </w:p>
        </w:tc>
        <w:tc>
          <w:tcPr>
            <w:tcW w:w="2126" w:type="dxa"/>
            <w:vAlign w:val="center"/>
          </w:tcPr>
          <w:p>
            <w:pPr>
              <w:pStyle w:val="18"/>
            </w:pPr>
            <w:r>
              <w:t>2100.32</w:t>
            </w:r>
          </w:p>
        </w:tc>
      </w:tr>
    </w:tbl>
    <w:p>
      <w:pPr>
        <w:sectPr>
          <w:footerReference r:id="rId3"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2100.32</w:t>
            </w:r>
          </w:p>
        </w:tc>
        <w:tc>
          <w:tcPr>
            <w:tcW w:w="1134" w:type="dxa"/>
            <w:vAlign w:val="center"/>
          </w:tcPr>
          <w:p>
            <w:pPr>
              <w:pStyle w:val="18"/>
            </w:pPr>
            <w:r>
              <w:t>2100.32</w:t>
            </w:r>
          </w:p>
        </w:tc>
        <w:tc>
          <w:tcPr>
            <w:tcW w:w="1134" w:type="dxa"/>
            <w:vAlign w:val="center"/>
          </w:tcPr>
          <w:p>
            <w:pPr>
              <w:pStyle w:val="18"/>
            </w:pPr>
            <w:r>
              <w:t>2100.32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20101</w:t>
            </w:r>
          </w:p>
        </w:tc>
        <w:tc>
          <w:tcPr>
            <w:tcW w:w="1559" w:type="dxa"/>
            <w:vAlign w:val="center"/>
          </w:tcPr>
          <w:p>
            <w:pPr>
              <w:pStyle w:val="15"/>
            </w:pPr>
            <w:r>
              <w:t>人大事务</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2010101</w:t>
            </w:r>
          </w:p>
        </w:tc>
        <w:tc>
          <w:tcPr>
            <w:tcW w:w="1559" w:type="dxa"/>
            <w:vAlign w:val="center"/>
          </w:tcPr>
          <w:p>
            <w:pPr>
              <w:pStyle w:val="15"/>
            </w:pPr>
            <w:r>
              <w:t>行政运行</w:t>
            </w:r>
          </w:p>
        </w:tc>
        <w:tc>
          <w:tcPr>
            <w:tcW w:w="1134" w:type="dxa"/>
            <w:vAlign w:val="center"/>
          </w:tcPr>
          <w:p>
            <w:pPr>
              <w:pStyle w:val="14"/>
            </w:pPr>
            <w:r>
              <w:t>1030.38</w:t>
            </w:r>
          </w:p>
        </w:tc>
        <w:tc>
          <w:tcPr>
            <w:tcW w:w="1134" w:type="dxa"/>
            <w:vAlign w:val="center"/>
          </w:tcPr>
          <w:p>
            <w:pPr>
              <w:pStyle w:val="14"/>
            </w:pPr>
            <w:r>
              <w:t>1030.38</w:t>
            </w:r>
          </w:p>
        </w:tc>
        <w:tc>
          <w:tcPr>
            <w:tcW w:w="1134" w:type="dxa"/>
            <w:vAlign w:val="center"/>
          </w:tcPr>
          <w:p>
            <w:pPr>
              <w:pStyle w:val="14"/>
            </w:pPr>
            <w:r>
              <w:t>1030.38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2010104</w:t>
            </w:r>
          </w:p>
        </w:tc>
        <w:tc>
          <w:tcPr>
            <w:tcW w:w="1559" w:type="dxa"/>
            <w:vAlign w:val="center"/>
          </w:tcPr>
          <w:p>
            <w:pPr>
              <w:pStyle w:val="15"/>
            </w:pPr>
            <w:r>
              <w:t>人大会议</w:t>
            </w:r>
          </w:p>
        </w:tc>
        <w:tc>
          <w:tcPr>
            <w:tcW w:w="1134" w:type="dxa"/>
            <w:vAlign w:val="center"/>
          </w:tcPr>
          <w:p>
            <w:pPr>
              <w:pStyle w:val="14"/>
            </w:pPr>
            <w:r>
              <w:t>228.91</w:t>
            </w:r>
          </w:p>
        </w:tc>
        <w:tc>
          <w:tcPr>
            <w:tcW w:w="1134" w:type="dxa"/>
            <w:vAlign w:val="center"/>
          </w:tcPr>
          <w:p>
            <w:pPr>
              <w:pStyle w:val="14"/>
            </w:pPr>
            <w:r>
              <w:t>228.91</w:t>
            </w:r>
          </w:p>
        </w:tc>
        <w:tc>
          <w:tcPr>
            <w:tcW w:w="1134" w:type="dxa"/>
            <w:vAlign w:val="center"/>
          </w:tcPr>
          <w:p>
            <w:pPr>
              <w:pStyle w:val="14"/>
            </w:pPr>
            <w:r>
              <w:t>228.91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2010105</w:t>
            </w:r>
          </w:p>
        </w:tc>
        <w:tc>
          <w:tcPr>
            <w:tcW w:w="1559" w:type="dxa"/>
            <w:vAlign w:val="center"/>
          </w:tcPr>
          <w:p>
            <w:pPr>
              <w:pStyle w:val="15"/>
            </w:pPr>
            <w:r>
              <w:t>人大立法</w:t>
            </w:r>
          </w:p>
        </w:tc>
        <w:tc>
          <w:tcPr>
            <w:tcW w:w="1134" w:type="dxa"/>
            <w:vAlign w:val="center"/>
          </w:tcPr>
          <w:p>
            <w:pPr>
              <w:pStyle w:val="14"/>
            </w:pPr>
            <w:r>
              <w:t>72.90</w:t>
            </w:r>
          </w:p>
        </w:tc>
        <w:tc>
          <w:tcPr>
            <w:tcW w:w="1134" w:type="dxa"/>
            <w:vAlign w:val="center"/>
          </w:tcPr>
          <w:p>
            <w:pPr>
              <w:pStyle w:val="14"/>
            </w:pPr>
            <w:r>
              <w:t>72.90</w:t>
            </w:r>
          </w:p>
        </w:tc>
        <w:tc>
          <w:tcPr>
            <w:tcW w:w="1134" w:type="dxa"/>
            <w:vAlign w:val="center"/>
          </w:tcPr>
          <w:p>
            <w:pPr>
              <w:pStyle w:val="14"/>
            </w:pPr>
            <w:r>
              <w:t>72.90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2010106</w:t>
            </w:r>
          </w:p>
        </w:tc>
        <w:tc>
          <w:tcPr>
            <w:tcW w:w="1559" w:type="dxa"/>
            <w:vAlign w:val="center"/>
          </w:tcPr>
          <w:p>
            <w:pPr>
              <w:pStyle w:val="15"/>
            </w:pPr>
            <w:r>
              <w:t>人大监督</w:t>
            </w:r>
          </w:p>
        </w:tc>
        <w:tc>
          <w:tcPr>
            <w:tcW w:w="1134" w:type="dxa"/>
            <w:vAlign w:val="center"/>
          </w:tcPr>
          <w:p>
            <w:pPr>
              <w:pStyle w:val="14"/>
            </w:pPr>
            <w:r>
              <w:t>141.22</w:t>
            </w:r>
          </w:p>
        </w:tc>
        <w:tc>
          <w:tcPr>
            <w:tcW w:w="1134" w:type="dxa"/>
            <w:vAlign w:val="center"/>
          </w:tcPr>
          <w:p>
            <w:pPr>
              <w:pStyle w:val="14"/>
            </w:pPr>
            <w:r>
              <w:t>141.22</w:t>
            </w:r>
          </w:p>
        </w:tc>
        <w:tc>
          <w:tcPr>
            <w:tcW w:w="1134" w:type="dxa"/>
            <w:vAlign w:val="center"/>
          </w:tcPr>
          <w:p>
            <w:pPr>
              <w:pStyle w:val="14"/>
            </w:pPr>
            <w:r>
              <w:t>141.22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2010107</w:t>
            </w:r>
          </w:p>
        </w:tc>
        <w:tc>
          <w:tcPr>
            <w:tcW w:w="1559" w:type="dxa"/>
            <w:vAlign w:val="center"/>
          </w:tcPr>
          <w:p>
            <w:pPr>
              <w:pStyle w:val="15"/>
            </w:pPr>
            <w:r>
              <w:t>人大代表履职能力提升</w:t>
            </w:r>
          </w:p>
        </w:tc>
        <w:tc>
          <w:tcPr>
            <w:tcW w:w="1134" w:type="dxa"/>
            <w:vAlign w:val="center"/>
          </w:tcPr>
          <w:p>
            <w:pPr>
              <w:pStyle w:val="14"/>
            </w:pPr>
            <w:r>
              <w:t>38.07</w:t>
            </w:r>
          </w:p>
        </w:tc>
        <w:tc>
          <w:tcPr>
            <w:tcW w:w="1134" w:type="dxa"/>
            <w:vAlign w:val="center"/>
          </w:tcPr>
          <w:p>
            <w:pPr>
              <w:pStyle w:val="14"/>
            </w:pPr>
            <w:r>
              <w:t>38.07</w:t>
            </w:r>
          </w:p>
        </w:tc>
        <w:tc>
          <w:tcPr>
            <w:tcW w:w="1134" w:type="dxa"/>
            <w:vAlign w:val="center"/>
          </w:tcPr>
          <w:p>
            <w:pPr>
              <w:pStyle w:val="14"/>
            </w:pPr>
            <w:r>
              <w:t>38.07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2010108</w:t>
            </w:r>
          </w:p>
        </w:tc>
        <w:tc>
          <w:tcPr>
            <w:tcW w:w="1559" w:type="dxa"/>
            <w:vAlign w:val="center"/>
          </w:tcPr>
          <w:p>
            <w:pPr>
              <w:pStyle w:val="15"/>
            </w:pPr>
            <w:r>
              <w:t>代表工作</w:t>
            </w:r>
          </w:p>
        </w:tc>
        <w:tc>
          <w:tcPr>
            <w:tcW w:w="1134" w:type="dxa"/>
            <w:vAlign w:val="center"/>
          </w:tcPr>
          <w:p>
            <w:pPr>
              <w:pStyle w:val="14"/>
            </w:pPr>
            <w:r>
              <w:t>93.15</w:t>
            </w:r>
          </w:p>
        </w:tc>
        <w:tc>
          <w:tcPr>
            <w:tcW w:w="1134" w:type="dxa"/>
            <w:vAlign w:val="center"/>
          </w:tcPr>
          <w:p>
            <w:pPr>
              <w:pStyle w:val="14"/>
            </w:pPr>
            <w:r>
              <w:t>93.15</w:t>
            </w:r>
          </w:p>
        </w:tc>
        <w:tc>
          <w:tcPr>
            <w:tcW w:w="1134" w:type="dxa"/>
            <w:vAlign w:val="center"/>
          </w:tcPr>
          <w:p>
            <w:pPr>
              <w:pStyle w:val="14"/>
            </w:pPr>
            <w:r>
              <w:t>93.15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187.65</w:t>
            </w:r>
          </w:p>
        </w:tc>
        <w:tc>
          <w:tcPr>
            <w:tcW w:w="1134" w:type="dxa"/>
            <w:vAlign w:val="center"/>
          </w:tcPr>
          <w:p>
            <w:pPr>
              <w:pStyle w:val="14"/>
            </w:pPr>
            <w:r>
              <w:t>187.65</w:t>
            </w:r>
          </w:p>
        </w:tc>
        <w:tc>
          <w:tcPr>
            <w:tcW w:w="1134" w:type="dxa"/>
            <w:vAlign w:val="center"/>
          </w:tcPr>
          <w:p>
            <w:pPr>
              <w:pStyle w:val="14"/>
            </w:pPr>
            <w:r>
              <w:t>187.65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106.02</w:t>
            </w:r>
          </w:p>
        </w:tc>
        <w:tc>
          <w:tcPr>
            <w:tcW w:w="1134" w:type="dxa"/>
            <w:vAlign w:val="center"/>
          </w:tcPr>
          <w:p>
            <w:pPr>
              <w:pStyle w:val="14"/>
            </w:pPr>
            <w:r>
              <w:t>106.02</w:t>
            </w:r>
          </w:p>
        </w:tc>
        <w:tc>
          <w:tcPr>
            <w:tcW w:w="1134" w:type="dxa"/>
            <w:vAlign w:val="center"/>
          </w:tcPr>
          <w:p>
            <w:pPr>
              <w:pStyle w:val="14"/>
            </w:pPr>
            <w:r>
              <w:t>106.02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2101101</w:t>
            </w:r>
          </w:p>
        </w:tc>
        <w:tc>
          <w:tcPr>
            <w:tcW w:w="1559" w:type="dxa"/>
            <w:vAlign w:val="center"/>
          </w:tcPr>
          <w:p>
            <w:pPr>
              <w:pStyle w:val="15"/>
            </w:pPr>
            <w:r>
              <w:t>行政单位医疗</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2100.32</w:t>
            </w:r>
          </w:p>
        </w:tc>
        <w:tc>
          <w:tcPr>
            <w:tcW w:w="1361" w:type="dxa"/>
            <w:vAlign w:val="center"/>
          </w:tcPr>
          <w:p>
            <w:pPr>
              <w:pStyle w:val="18"/>
            </w:pPr>
            <w:r>
              <w:t>1526.07</w:t>
            </w:r>
          </w:p>
        </w:tc>
        <w:tc>
          <w:tcPr>
            <w:tcW w:w="1361" w:type="dxa"/>
            <w:vAlign w:val="center"/>
          </w:tcPr>
          <w:p>
            <w:pPr>
              <w:pStyle w:val="18"/>
            </w:pPr>
            <w:r>
              <w:t>574.25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1604.63</w:t>
            </w:r>
          </w:p>
        </w:tc>
        <w:tc>
          <w:tcPr>
            <w:tcW w:w="1361" w:type="dxa"/>
            <w:vAlign w:val="center"/>
          </w:tcPr>
          <w:p>
            <w:pPr>
              <w:pStyle w:val="14"/>
            </w:pPr>
            <w:r>
              <w:t>1030.38</w:t>
            </w:r>
          </w:p>
        </w:tc>
        <w:tc>
          <w:tcPr>
            <w:tcW w:w="1361" w:type="dxa"/>
            <w:vAlign w:val="center"/>
          </w:tcPr>
          <w:p>
            <w:pPr>
              <w:pStyle w:val="14"/>
            </w:pPr>
            <w:r>
              <w:t>574.25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20101</w:t>
            </w:r>
          </w:p>
        </w:tc>
        <w:tc>
          <w:tcPr>
            <w:tcW w:w="4535" w:type="dxa"/>
            <w:vAlign w:val="center"/>
          </w:tcPr>
          <w:p>
            <w:pPr>
              <w:pStyle w:val="15"/>
            </w:pPr>
            <w:r>
              <w:t>人大事务</w:t>
            </w:r>
          </w:p>
        </w:tc>
        <w:tc>
          <w:tcPr>
            <w:tcW w:w="1361" w:type="dxa"/>
            <w:vAlign w:val="center"/>
          </w:tcPr>
          <w:p>
            <w:pPr>
              <w:pStyle w:val="14"/>
            </w:pPr>
            <w:r>
              <w:t>1604.63</w:t>
            </w:r>
          </w:p>
        </w:tc>
        <w:tc>
          <w:tcPr>
            <w:tcW w:w="1361" w:type="dxa"/>
            <w:vAlign w:val="center"/>
          </w:tcPr>
          <w:p>
            <w:pPr>
              <w:pStyle w:val="14"/>
            </w:pPr>
            <w:r>
              <w:t>1030.38</w:t>
            </w:r>
          </w:p>
        </w:tc>
        <w:tc>
          <w:tcPr>
            <w:tcW w:w="1361" w:type="dxa"/>
            <w:vAlign w:val="center"/>
          </w:tcPr>
          <w:p>
            <w:pPr>
              <w:pStyle w:val="14"/>
            </w:pPr>
            <w:r>
              <w:t>574.25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2010101</w:t>
            </w:r>
          </w:p>
        </w:tc>
        <w:tc>
          <w:tcPr>
            <w:tcW w:w="4535" w:type="dxa"/>
            <w:vAlign w:val="center"/>
          </w:tcPr>
          <w:p>
            <w:pPr>
              <w:pStyle w:val="15"/>
            </w:pPr>
            <w:r>
              <w:t>行政运行</w:t>
            </w:r>
          </w:p>
        </w:tc>
        <w:tc>
          <w:tcPr>
            <w:tcW w:w="1361" w:type="dxa"/>
            <w:vAlign w:val="center"/>
          </w:tcPr>
          <w:p>
            <w:pPr>
              <w:pStyle w:val="14"/>
            </w:pPr>
            <w:r>
              <w:t>1030.38</w:t>
            </w:r>
          </w:p>
        </w:tc>
        <w:tc>
          <w:tcPr>
            <w:tcW w:w="1361" w:type="dxa"/>
            <w:vAlign w:val="center"/>
          </w:tcPr>
          <w:p>
            <w:pPr>
              <w:pStyle w:val="14"/>
            </w:pPr>
            <w:r>
              <w:t>1030.38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2010104</w:t>
            </w:r>
          </w:p>
        </w:tc>
        <w:tc>
          <w:tcPr>
            <w:tcW w:w="4535" w:type="dxa"/>
            <w:vAlign w:val="center"/>
          </w:tcPr>
          <w:p>
            <w:pPr>
              <w:pStyle w:val="15"/>
            </w:pPr>
            <w:r>
              <w:t>人大会议</w:t>
            </w:r>
          </w:p>
        </w:tc>
        <w:tc>
          <w:tcPr>
            <w:tcW w:w="1361" w:type="dxa"/>
            <w:vAlign w:val="center"/>
          </w:tcPr>
          <w:p>
            <w:pPr>
              <w:pStyle w:val="14"/>
            </w:pPr>
            <w:r>
              <w:t>228.91</w:t>
            </w:r>
          </w:p>
        </w:tc>
        <w:tc>
          <w:tcPr>
            <w:tcW w:w="1361" w:type="dxa"/>
            <w:vAlign w:val="center"/>
          </w:tcPr>
          <w:p>
            <w:pPr>
              <w:pStyle w:val="14"/>
            </w:pPr>
          </w:p>
        </w:tc>
        <w:tc>
          <w:tcPr>
            <w:tcW w:w="1361" w:type="dxa"/>
            <w:vAlign w:val="center"/>
          </w:tcPr>
          <w:p>
            <w:pPr>
              <w:pStyle w:val="14"/>
            </w:pPr>
            <w:r>
              <w:t>228.91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2010105</w:t>
            </w:r>
          </w:p>
        </w:tc>
        <w:tc>
          <w:tcPr>
            <w:tcW w:w="4535" w:type="dxa"/>
            <w:vAlign w:val="center"/>
          </w:tcPr>
          <w:p>
            <w:pPr>
              <w:pStyle w:val="15"/>
            </w:pPr>
            <w:r>
              <w:t>人大立法</w:t>
            </w:r>
          </w:p>
        </w:tc>
        <w:tc>
          <w:tcPr>
            <w:tcW w:w="1361" w:type="dxa"/>
            <w:vAlign w:val="center"/>
          </w:tcPr>
          <w:p>
            <w:pPr>
              <w:pStyle w:val="14"/>
            </w:pPr>
            <w:r>
              <w:t>72.90</w:t>
            </w:r>
          </w:p>
        </w:tc>
        <w:tc>
          <w:tcPr>
            <w:tcW w:w="1361" w:type="dxa"/>
            <w:vAlign w:val="center"/>
          </w:tcPr>
          <w:p>
            <w:pPr>
              <w:pStyle w:val="14"/>
            </w:pPr>
          </w:p>
        </w:tc>
        <w:tc>
          <w:tcPr>
            <w:tcW w:w="1361" w:type="dxa"/>
            <w:vAlign w:val="center"/>
          </w:tcPr>
          <w:p>
            <w:pPr>
              <w:pStyle w:val="14"/>
            </w:pPr>
            <w:r>
              <w:t>72.90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2010106</w:t>
            </w:r>
          </w:p>
        </w:tc>
        <w:tc>
          <w:tcPr>
            <w:tcW w:w="4535" w:type="dxa"/>
            <w:vAlign w:val="center"/>
          </w:tcPr>
          <w:p>
            <w:pPr>
              <w:pStyle w:val="15"/>
            </w:pPr>
            <w:r>
              <w:t>人大监督</w:t>
            </w:r>
          </w:p>
        </w:tc>
        <w:tc>
          <w:tcPr>
            <w:tcW w:w="1361" w:type="dxa"/>
            <w:vAlign w:val="center"/>
          </w:tcPr>
          <w:p>
            <w:pPr>
              <w:pStyle w:val="14"/>
            </w:pPr>
            <w:r>
              <w:t>141.22</w:t>
            </w:r>
          </w:p>
        </w:tc>
        <w:tc>
          <w:tcPr>
            <w:tcW w:w="1361" w:type="dxa"/>
            <w:vAlign w:val="center"/>
          </w:tcPr>
          <w:p>
            <w:pPr>
              <w:pStyle w:val="14"/>
            </w:pPr>
          </w:p>
        </w:tc>
        <w:tc>
          <w:tcPr>
            <w:tcW w:w="1361" w:type="dxa"/>
            <w:vAlign w:val="center"/>
          </w:tcPr>
          <w:p>
            <w:pPr>
              <w:pStyle w:val="14"/>
            </w:pPr>
            <w:r>
              <w:t>141.22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2010107</w:t>
            </w:r>
          </w:p>
        </w:tc>
        <w:tc>
          <w:tcPr>
            <w:tcW w:w="4535" w:type="dxa"/>
            <w:vAlign w:val="center"/>
          </w:tcPr>
          <w:p>
            <w:pPr>
              <w:pStyle w:val="15"/>
            </w:pPr>
            <w:r>
              <w:t>人大代表履职能力提升</w:t>
            </w:r>
          </w:p>
        </w:tc>
        <w:tc>
          <w:tcPr>
            <w:tcW w:w="1361" w:type="dxa"/>
            <w:vAlign w:val="center"/>
          </w:tcPr>
          <w:p>
            <w:pPr>
              <w:pStyle w:val="14"/>
            </w:pPr>
            <w:r>
              <w:t>38.07</w:t>
            </w:r>
          </w:p>
        </w:tc>
        <w:tc>
          <w:tcPr>
            <w:tcW w:w="1361" w:type="dxa"/>
            <w:vAlign w:val="center"/>
          </w:tcPr>
          <w:p>
            <w:pPr>
              <w:pStyle w:val="14"/>
            </w:pPr>
          </w:p>
        </w:tc>
        <w:tc>
          <w:tcPr>
            <w:tcW w:w="1361" w:type="dxa"/>
            <w:vAlign w:val="center"/>
          </w:tcPr>
          <w:p>
            <w:pPr>
              <w:pStyle w:val="14"/>
            </w:pPr>
            <w:r>
              <w:t>38.07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2010108</w:t>
            </w:r>
          </w:p>
        </w:tc>
        <w:tc>
          <w:tcPr>
            <w:tcW w:w="4535" w:type="dxa"/>
            <w:vAlign w:val="center"/>
          </w:tcPr>
          <w:p>
            <w:pPr>
              <w:pStyle w:val="15"/>
            </w:pPr>
            <w:r>
              <w:t>代表工作</w:t>
            </w:r>
          </w:p>
        </w:tc>
        <w:tc>
          <w:tcPr>
            <w:tcW w:w="1361" w:type="dxa"/>
            <w:vAlign w:val="center"/>
          </w:tcPr>
          <w:p>
            <w:pPr>
              <w:pStyle w:val="14"/>
            </w:pPr>
            <w:r>
              <w:t>93.15</w:t>
            </w:r>
          </w:p>
        </w:tc>
        <w:tc>
          <w:tcPr>
            <w:tcW w:w="1361" w:type="dxa"/>
            <w:vAlign w:val="center"/>
          </w:tcPr>
          <w:p>
            <w:pPr>
              <w:pStyle w:val="14"/>
            </w:pPr>
          </w:p>
        </w:tc>
        <w:tc>
          <w:tcPr>
            <w:tcW w:w="1361" w:type="dxa"/>
            <w:vAlign w:val="center"/>
          </w:tcPr>
          <w:p>
            <w:pPr>
              <w:pStyle w:val="14"/>
            </w:pPr>
            <w:r>
              <w:t>93.15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293.67</w:t>
            </w:r>
          </w:p>
        </w:tc>
        <w:tc>
          <w:tcPr>
            <w:tcW w:w="1361" w:type="dxa"/>
            <w:vAlign w:val="center"/>
          </w:tcPr>
          <w:p>
            <w:pPr>
              <w:pStyle w:val="14"/>
            </w:pPr>
            <w:r>
              <w:t>293.67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293.67</w:t>
            </w:r>
          </w:p>
        </w:tc>
        <w:tc>
          <w:tcPr>
            <w:tcW w:w="1361" w:type="dxa"/>
            <w:vAlign w:val="center"/>
          </w:tcPr>
          <w:p>
            <w:pPr>
              <w:pStyle w:val="14"/>
            </w:pPr>
            <w:r>
              <w:t>293.67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187.65</w:t>
            </w:r>
          </w:p>
        </w:tc>
        <w:tc>
          <w:tcPr>
            <w:tcW w:w="1361" w:type="dxa"/>
            <w:vAlign w:val="center"/>
          </w:tcPr>
          <w:p>
            <w:pPr>
              <w:pStyle w:val="14"/>
            </w:pPr>
            <w:r>
              <w:t>187.65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106.02</w:t>
            </w:r>
          </w:p>
        </w:tc>
        <w:tc>
          <w:tcPr>
            <w:tcW w:w="1361" w:type="dxa"/>
            <w:vAlign w:val="center"/>
          </w:tcPr>
          <w:p>
            <w:pPr>
              <w:pStyle w:val="14"/>
            </w:pPr>
            <w:r>
              <w:t>106.02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2101101</w:t>
            </w:r>
          </w:p>
        </w:tc>
        <w:tc>
          <w:tcPr>
            <w:tcW w:w="4535" w:type="dxa"/>
            <w:vAlign w:val="center"/>
          </w:tcPr>
          <w:p>
            <w:pPr>
              <w:pStyle w:val="15"/>
            </w:pPr>
            <w:r>
              <w:t>行政单位医疗</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2100.32</w:t>
            </w:r>
          </w:p>
        </w:tc>
        <w:tc>
          <w:tcPr>
            <w:tcW w:w="3402" w:type="dxa"/>
            <w:vAlign w:val="center"/>
          </w:tcPr>
          <w:p>
            <w:pPr>
              <w:pStyle w:val="15"/>
            </w:pPr>
            <w:r>
              <w:t>一、一般公共服务支出</w:t>
            </w:r>
          </w:p>
        </w:tc>
        <w:tc>
          <w:tcPr>
            <w:tcW w:w="1474" w:type="dxa"/>
            <w:vAlign w:val="center"/>
          </w:tcPr>
          <w:p>
            <w:pPr>
              <w:pStyle w:val="14"/>
            </w:pPr>
            <w:r>
              <w:t>1604.63</w:t>
            </w:r>
          </w:p>
        </w:tc>
        <w:tc>
          <w:tcPr>
            <w:tcW w:w="1474" w:type="dxa"/>
            <w:vAlign w:val="center"/>
          </w:tcPr>
          <w:p>
            <w:pPr>
              <w:pStyle w:val="14"/>
            </w:pPr>
            <w:r>
              <w:t>1604.63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293.67</w:t>
            </w:r>
          </w:p>
        </w:tc>
        <w:tc>
          <w:tcPr>
            <w:tcW w:w="1474" w:type="dxa"/>
            <w:vAlign w:val="center"/>
          </w:tcPr>
          <w:p>
            <w:pPr>
              <w:pStyle w:val="14"/>
            </w:pPr>
            <w:r>
              <w:t>293.67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122.50</w:t>
            </w:r>
          </w:p>
        </w:tc>
        <w:tc>
          <w:tcPr>
            <w:tcW w:w="1474" w:type="dxa"/>
            <w:vAlign w:val="center"/>
          </w:tcPr>
          <w:p>
            <w:pPr>
              <w:pStyle w:val="14"/>
            </w:pPr>
            <w:r>
              <w:t>122.50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79.52</w:t>
            </w:r>
          </w:p>
        </w:tc>
        <w:tc>
          <w:tcPr>
            <w:tcW w:w="1474" w:type="dxa"/>
            <w:vAlign w:val="center"/>
          </w:tcPr>
          <w:p>
            <w:pPr>
              <w:pStyle w:val="14"/>
            </w:pPr>
            <w:r>
              <w:t>79.52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2100.32</w:t>
            </w:r>
          </w:p>
        </w:tc>
        <w:tc>
          <w:tcPr>
            <w:tcW w:w="3402" w:type="dxa"/>
            <w:vAlign w:val="center"/>
          </w:tcPr>
          <w:p>
            <w:pPr>
              <w:pStyle w:val="17"/>
            </w:pPr>
            <w:r>
              <w:t>本年支出合计</w:t>
            </w:r>
          </w:p>
        </w:tc>
        <w:tc>
          <w:tcPr>
            <w:tcW w:w="1474" w:type="dxa"/>
            <w:vAlign w:val="center"/>
          </w:tcPr>
          <w:p>
            <w:pPr>
              <w:pStyle w:val="18"/>
            </w:pPr>
            <w:r>
              <w:t>2100.32</w:t>
            </w:r>
          </w:p>
        </w:tc>
        <w:tc>
          <w:tcPr>
            <w:tcW w:w="1474" w:type="dxa"/>
            <w:vAlign w:val="center"/>
          </w:tcPr>
          <w:p>
            <w:pPr>
              <w:pStyle w:val="18"/>
            </w:pPr>
            <w:r>
              <w:t>2100.32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2100.32</w:t>
            </w:r>
          </w:p>
        </w:tc>
        <w:tc>
          <w:tcPr>
            <w:tcW w:w="3402" w:type="dxa"/>
            <w:vAlign w:val="center"/>
          </w:tcPr>
          <w:p>
            <w:pPr>
              <w:pStyle w:val="17"/>
            </w:pPr>
            <w:r>
              <w:t>支出总计</w:t>
            </w:r>
          </w:p>
        </w:tc>
        <w:tc>
          <w:tcPr>
            <w:tcW w:w="1474" w:type="dxa"/>
            <w:vAlign w:val="center"/>
          </w:tcPr>
          <w:p>
            <w:pPr>
              <w:pStyle w:val="18"/>
            </w:pPr>
            <w:r>
              <w:t>2100.32</w:t>
            </w:r>
          </w:p>
        </w:tc>
        <w:tc>
          <w:tcPr>
            <w:tcW w:w="1474" w:type="dxa"/>
            <w:vAlign w:val="center"/>
          </w:tcPr>
          <w:p>
            <w:pPr>
              <w:pStyle w:val="18"/>
            </w:pPr>
            <w:r>
              <w:t>2100.32</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2100.32</w:t>
            </w:r>
          </w:p>
        </w:tc>
        <w:tc>
          <w:tcPr>
            <w:tcW w:w="2551" w:type="dxa"/>
            <w:vAlign w:val="center"/>
          </w:tcPr>
          <w:p>
            <w:pPr>
              <w:pStyle w:val="18"/>
            </w:pPr>
            <w:r>
              <w:t>1526.07</w:t>
            </w:r>
          </w:p>
        </w:tc>
        <w:tc>
          <w:tcPr>
            <w:tcW w:w="2551" w:type="dxa"/>
            <w:vAlign w:val="center"/>
          </w:tcPr>
          <w:p>
            <w:pPr>
              <w:pStyle w:val="18"/>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1604.63</w:t>
            </w:r>
          </w:p>
        </w:tc>
        <w:tc>
          <w:tcPr>
            <w:tcW w:w="2551" w:type="dxa"/>
            <w:vAlign w:val="center"/>
          </w:tcPr>
          <w:p>
            <w:pPr>
              <w:pStyle w:val="14"/>
            </w:pPr>
            <w:r>
              <w:t>1030.38</w:t>
            </w:r>
          </w:p>
        </w:tc>
        <w:tc>
          <w:tcPr>
            <w:tcW w:w="2551" w:type="dxa"/>
            <w:vAlign w:val="center"/>
          </w:tcPr>
          <w:p>
            <w:pPr>
              <w:pStyle w:val="14"/>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20101</w:t>
            </w:r>
          </w:p>
        </w:tc>
        <w:tc>
          <w:tcPr>
            <w:tcW w:w="4535" w:type="dxa"/>
            <w:vAlign w:val="center"/>
          </w:tcPr>
          <w:p>
            <w:pPr>
              <w:pStyle w:val="15"/>
            </w:pPr>
            <w:r>
              <w:t>人大事务</w:t>
            </w:r>
          </w:p>
        </w:tc>
        <w:tc>
          <w:tcPr>
            <w:tcW w:w="2551" w:type="dxa"/>
            <w:vAlign w:val="center"/>
          </w:tcPr>
          <w:p>
            <w:pPr>
              <w:pStyle w:val="14"/>
            </w:pPr>
            <w:r>
              <w:t>1604.63</w:t>
            </w:r>
          </w:p>
        </w:tc>
        <w:tc>
          <w:tcPr>
            <w:tcW w:w="2551" w:type="dxa"/>
            <w:vAlign w:val="center"/>
          </w:tcPr>
          <w:p>
            <w:pPr>
              <w:pStyle w:val="14"/>
            </w:pPr>
            <w:r>
              <w:t>1030.38</w:t>
            </w:r>
          </w:p>
        </w:tc>
        <w:tc>
          <w:tcPr>
            <w:tcW w:w="2551" w:type="dxa"/>
            <w:vAlign w:val="center"/>
          </w:tcPr>
          <w:p>
            <w:pPr>
              <w:pStyle w:val="14"/>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2010101</w:t>
            </w:r>
          </w:p>
        </w:tc>
        <w:tc>
          <w:tcPr>
            <w:tcW w:w="4535" w:type="dxa"/>
            <w:vAlign w:val="center"/>
          </w:tcPr>
          <w:p>
            <w:pPr>
              <w:pStyle w:val="15"/>
            </w:pPr>
            <w:r>
              <w:t>行政运行</w:t>
            </w:r>
          </w:p>
        </w:tc>
        <w:tc>
          <w:tcPr>
            <w:tcW w:w="2551" w:type="dxa"/>
            <w:vAlign w:val="center"/>
          </w:tcPr>
          <w:p>
            <w:pPr>
              <w:pStyle w:val="14"/>
            </w:pPr>
            <w:r>
              <w:t>1030.38</w:t>
            </w:r>
          </w:p>
        </w:tc>
        <w:tc>
          <w:tcPr>
            <w:tcW w:w="2551" w:type="dxa"/>
            <w:vAlign w:val="center"/>
          </w:tcPr>
          <w:p>
            <w:pPr>
              <w:pStyle w:val="14"/>
            </w:pPr>
            <w:r>
              <w:t>1030.38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2010104</w:t>
            </w:r>
          </w:p>
        </w:tc>
        <w:tc>
          <w:tcPr>
            <w:tcW w:w="4535" w:type="dxa"/>
            <w:vAlign w:val="center"/>
          </w:tcPr>
          <w:p>
            <w:pPr>
              <w:pStyle w:val="15"/>
            </w:pPr>
            <w:r>
              <w:t>人大会议</w:t>
            </w:r>
          </w:p>
        </w:tc>
        <w:tc>
          <w:tcPr>
            <w:tcW w:w="2551" w:type="dxa"/>
            <w:vAlign w:val="center"/>
          </w:tcPr>
          <w:p>
            <w:pPr>
              <w:pStyle w:val="14"/>
            </w:pPr>
            <w:r>
              <w:t>228.91</w:t>
            </w:r>
          </w:p>
        </w:tc>
        <w:tc>
          <w:tcPr>
            <w:tcW w:w="2551" w:type="dxa"/>
            <w:vAlign w:val="center"/>
          </w:tcPr>
          <w:p>
            <w:pPr>
              <w:pStyle w:val="14"/>
            </w:pPr>
          </w:p>
        </w:tc>
        <w:tc>
          <w:tcPr>
            <w:tcW w:w="2551" w:type="dxa"/>
            <w:vAlign w:val="center"/>
          </w:tcPr>
          <w:p>
            <w:pPr>
              <w:pStyle w:val="14"/>
            </w:pPr>
            <w:r>
              <w:t>228.91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2010105</w:t>
            </w:r>
          </w:p>
        </w:tc>
        <w:tc>
          <w:tcPr>
            <w:tcW w:w="4535" w:type="dxa"/>
            <w:vAlign w:val="center"/>
          </w:tcPr>
          <w:p>
            <w:pPr>
              <w:pStyle w:val="15"/>
            </w:pPr>
            <w:r>
              <w:t>人大立法</w:t>
            </w:r>
          </w:p>
        </w:tc>
        <w:tc>
          <w:tcPr>
            <w:tcW w:w="2551" w:type="dxa"/>
            <w:vAlign w:val="center"/>
          </w:tcPr>
          <w:p>
            <w:pPr>
              <w:pStyle w:val="14"/>
            </w:pPr>
            <w:r>
              <w:t>72.90</w:t>
            </w:r>
          </w:p>
        </w:tc>
        <w:tc>
          <w:tcPr>
            <w:tcW w:w="2551" w:type="dxa"/>
            <w:vAlign w:val="center"/>
          </w:tcPr>
          <w:p>
            <w:pPr>
              <w:pStyle w:val="14"/>
            </w:pPr>
          </w:p>
        </w:tc>
        <w:tc>
          <w:tcPr>
            <w:tcW w:w="2551" w:type="dxa"/>
            <w:vAlign w:val="center"/>
          </w:tcPr>
          <w:p>
            <w:pPr>
              <w:pStyle w:val="14"/>
            </w:pPr>
            <w:r>
              <w:t>72.90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2010106</w:t>
            </w:r>
          </w:p>
        </w:tc>
        <w:tc>
          <w:tcPr>
            <w:tcW w:w="4535" w:type="dxa"/>
            <w:vAlign w:val="center"/>
          </w:tcPr>
          <w:p>
            <w:pPr>
              <w:pStyle w:val="15"/>
            </w:pPr>
            <w:r>
              <w:t>人大监督</w:t>
            </w:r>
          </w:p>
        </w:tc>
        <w:tc>
          <w:tcPr>
            <w:tcW w:w="2551" w:type="dxa"/>
            <w:vAlign w:val="center"/>
          </w:tcPr>
          <w:p>
            <w:pPr>
              <w:pStyle w:val="14"/>
            </w:pPr>
            <w:r>
              <w:t>141.22</w:t>
            </w:r>
          </w:p>
        </w:tc>
        <w:tc>
          <w:tcPr>
            <w:tcW w:w="2551" w:type="dxa"/>
            <w:vAlign w:val="center"/>
          </w:tcPr>
          <w:p>
            <w:pPr>
              <w:pStyle w:val="14"/>
            </w:pPr>
          </w:p>
        </w:tc>
        <w:tc>
          <w:tcPr>
            <w:tcW w:w="2551" w:type="dxa"/>
            <w:vAlign w:val="center"/>
          </w:tcPr>
          <w:p>
            <w:pPr>
              <w:pStyle w:val="14"/>
            </w:pPr>
            <w:r>
              <w:t>141.22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2010107</w:t>
            </w:r>
          </w:p>
        </w:tc>
        <w:tc>
          <w:tcPr>
            <w:tcW w:w="4535" w:type="dxa"/>
            <w:vAlign w:val="center"/>
          </w:tcPr>
          <w:p>
            <w:pPr>
              <w:pStyle w:val="15"/>
            </w:pPr>
            <w:r>
              <w:t>人大代表履职能力提升</w:t>
            </w:r>
          </w:p>
        </w:tc>
        <w:tc>
          <w:tcPr>
            <w:tcW w:w="2551" w:type="dxa"/>
            <w:vAlign w:val="center"/>
          </w:tcPr>
          <w:p>
            <w:pPr>
              <w:pStyle w:val="14"/>
            </w:pPr>
            <w:r>
              <w:t>38.07</w:t>
            </w:r>
          </w:p>
        </w:tc>
        <w:tc>
          <w:tcPr>
            <w:tcW w:w="2551" w:type="dxa"/>
            <w:vAlign w:val="center"/>
          </w:tcPr>
          <w:p>
            <w:pPr>
              <w:pStyle w:val="14"/>
            </w:pPr>
          </w:p>
        </w:tc>
        <w:tc>
          <w:tcPr>
            <w:tcW w:w="2551" w:type="dxa"/>
            <w:vAlign w:val="center"/>
          </w:tcPr>
          <w:p>
            <w:pPr>
              <w:pStyle w:val="14"/>
            </w:pPr>
            <w:r>
              <w:t>38.07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2010108</w:t>
            </w:r>
          </w:p>
        </w:tc>
        <w:tc>
          <w:tcPr>
            <w:tcW w:w="4535" w:type="dxa"/>
            <w:vAlign w:val="center"/>
          </w:tcPr>
          <w:p>
            <w:pPr>
              <w:pStyle w:val="15"/>
            </w:pPr>
            <w:r>
              <w:t>代表工作</w:t>
            </w:r>
          </w:p>
        </w:tc>
        <w:tc>
          <w:tcPr>
            <w:tcW w:w="2551" w:type="dxa"/>
            <w:vAlign w:val="center"/>
          </w:tcPr>
          <w:p>
            <w:pPr>
              <w:pStyle w:val="14"/>
            </w:pPr>
            <w:r>
              <w:t>93.15</w:t>
            </w:r>
          </w:p>
        </w:tc>
        <w:tc>
          <w:tcPr>
            <w:tcW w:w="2551" w:type="dxa"/>
            <w:vAlign w:val="center"/>
          </w:tcPr>
          <w:p>
            <w:pPr>
              <w:pStyle w:val="14"/>
            </w:pPr>
          </w:p>
        </w:tc>
        <w:tc>
          <w:tcPr>
            <w:tcW w:w="2551" w:type="dxa"/>
            <w:vAlign w:val="center"/>
          </w:tcPr>
          <w:p>
            <w:pPr>
              <w:pStyle w:val="14"/>
            </w:pPr>
            <w:r>
              <w:t>93.15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293.67</w:t>
            </w:r>
          </w:p>
        </w:tc>
        <w:tc>
          <w:tcPr>
            <w:tcW w:w="2551" w:type="dxa"/>
            <w:vAlign w:val="center"/>
          </w:tcPr>
          <w:p>
            <w:pPr>
              <w:pStyle w:val="14"/>
            </w:pPr>
            <w:r>
              <w:t>293.67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293.67</w:t>
            </w:r>
          </w:p>
        </w:tc>
        <w:tc>
          <w:tcPr>
            <w:tcW w:w="2551" w:type="dxa"/>
            <w:vAlign w:val="center"/>
          </w:tcPr>
          <w:p>
            <w:pPr>
              <w:pStyle w:val="14"/>
            </w:pPr>
            <w:r>
              <w:t>293.67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187.65</w:t>
            </w:r>
          </w:p>
        </w:tc>
        <w:tc>
          <w:tcPr>
            <w:tcW w:w="2551" w:type="dxa"/>
            <w:vAlign w:val="center"/>
          </w:tcPr>
          <w:p>
            <w:pPr>
              <w:pStyle w:val="14"/>
            </w:pPr>
            <w:r>
              <w:t>187.65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106.02</w:t>
            </w:r>
          </w:p>
        </w:tc>
        <w:tc>
          <w:tcPr>
            <w:tcW w:w="2551" w:type="dxa"/>
            <w:vAlign w:val="center"/>
          </w:tcPr>
          <w:p>
            <w:pPr>
              <w:pStyle w:val="14"/>
            </w:pPr>
            <w:r>
              <w:t>106.02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2101101</w:t>
            </w:r>
          </w:p>
        </w:tc>
        <w:tc>
          <w:tcPr>
            <w:tcW w:w="4535" w:type="dxa"/>
            <w:vAlign w:val="center"/>
          </w:tcPr>
          <w:p>
            <w:pPr>
              <w:pStyle w:val="15"/>
            </w:pPr>
            <w:r>
              <w:t>行政单位医疗</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1526.07</w:t>
            </w:r>
          </w:p>
        </w:tc>
        <w:tc>
          <w:tcPr>
            <w:tcW w:w="2551" w:type="dxa"/>
            <w:vAlign w:val="center"/>
          </w:tcPr>
          <w:p>
            <w:pPr>
              <w:pStyle w:val="18"/>
            </w:pPr>
            <w:r>
              <w:t>1193.22</w:t>
            </w:r>
          </w:p>
        </w:tc>
        <w:tc>
          <w:tcPr>
            <w:tcW w:w="2551" w:type="dxa"/>
            <w:vAlign w:val="center"/>
          </w:tcPr>
          <w:p>
            <w:pPr>
              <w:pStyle w:val="18"/>
            </w:pPr>
            <w:r>
              <w:t>332.85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1027.44</w:t>
            </w:r>
          </w:p>
        </w:tc>
        <w:tc>
          <w:tcPr>
            <w:tcW w:w="2551" w:type="dxa"/>
            <w:vAlign w:val="center"/>
          </w:tcPr>
          <w:p>
            <w:pPr>
              <w:pStyle w:val="14"/>
            </w:pPr>
            <w:r>
              <w:t>1027.44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377.83</w:t>
            </w:r>
          </w:p>
        </w:tc>
        <w:tc>
          <w:tcPr>
            <w:tcW w:w="2551" w:type="dxa"/>
            <w:vAlign w:val="center"/>
          </w:tcPr>
          <w:p>
            <w:pPr>
              <w:pStyle w:val="14"/>
            </w:pPr>
            <w:r>
              <w:t>377.83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306.77</w:t>
            </w:r>
          </w:p>
        </w:tc>
        <w:tc>
          <w:tcPr>
            <w:tcW w:w="2551" w:type="dxa"/>
            <w:vAlign w:val="center"/>
          </w:tcPr>
          <w:p>
            <w:pPr>
              <w:pStyle w:val="14"/>
            </w:pPr>
            <w:r>
              <w:t>306.77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31.49</w:t>
            </w:r>
          </w:p>
        </w:tc>
        <w:tc>
          <w:tcPr>
            <w:tcW w:w="2551" w:type="dxa"/>
            <w:vAlign w:val="center"/>
          </w:tcPr>
          <w:p>
            <w:pPr>
              <w:pStyle w:val="14"/>
            </w:pPr>
            <w:r>
              <w:t>31.49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106.02</w:t>
            </w:r>
          </w:p>
        </w:tc>
        <w:tc>
          <w:tcPr>
            <w:tcW w:w="2551" w:type="dxa"/>
            <w:vAlign w:val="center"/>
          </w:tcPr>
          <w:p>
            <w:pPr>
              <w:pStyle w:val="14"/>
            </w:pPr>
            <w:r>
              <w:t>106.02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52.41</w:t>
            </w:r>
          </w:p>
        </w:tc>
        <w:tc>
          <w:tcPr>
            <w:tcW w:w="2551" w:type="dxa"/>
            <w:vAlign w:val="center"/>
          </w:tcPr>
          <w:p>
            <w:pPr>
              <w:pStyle w:val="14"/>
            </w:pPr>
            <w:r>
              <w:t>52.41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66.88</w:t>
            </w:r>
          </w:p>
        </w:tc>
        <w:tc>
          <w:tcPr>
            <w:tcW w:w="2551" w:type="dxa"/>
            <w:vAlign w:val="center"/>
          </w:tcPr>
          <w:p>
            <w:pPr>
              <w:pStyle w:val="14"/>
            </w:pPr>
            <w:r>
              <w:t>66.88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6.52</w:t>
            </w:r>
          </w:p>
        </w:tc>
        <w:tc>
          <w:tcPr>
            <w:tcW w:w="2551" w:type="dxa"/>
            <w:vAlign w:val="center"/>
          </w:tcPr>
          <w:p>
            <w:pPr>
              <w:pStyle w:val="14"/>
            </w:pPr>
            <w:r>
              <w:t>6.52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332.85</w:t>
            </w:r>
          </w:p>
        </w:tc>
        <w:tc>
          <w:tcPr>
            <w:tcW w:w="2551" w:type="dxa"/>
            <w:vAlign w:val="center"/>
          </w:tcPr>
          <w:p>
            <w:pPr>
              <w:pStyle w:val="14"/>
            </w:pPr>
          </w:p>
        </w:tc>
        <w:tc>
          <w:tcPr>
            <w:tcW w:w="2551" w:type="dxa"/>
            <w:vAlign w:val="center"/>
          </w:tcPr>
          <w:p>
            <w:pPr>
              <w:pStyle w:val="14"/>
            </w:pPr>
            <w:r>
              <w:t>332.85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7.98</w:t>
            </w:r>
          </w:p>
        </w:tc>
        <w:tc>
          <w:tcPr>
            <w:tcW w:w="2551" w:type="dxa"/>
            <w:vAlign w:val="center"/>
          </w:tcPr>
          <w:p>
            <w:pPr>
              <w:pStyle w:val="14"/>
            </w:pPr>
          </w:p>
        </w:tc>
        <w:tc>
          <w:tcPr>
            <w:tcW w:w="2551" w:type="dxa"/>
            <w:vAlign w:val="center"/>
          </w:tcPr>
          <w:p>
            <w:pPr>
              <w:pStyle w:val="14"/>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52.10</w:t>
            </w:r>
          </w:p>
        </w:tc>
        <w:tc>
          <w:tcPr>
            <w:tcW w:w="2551" w:type="dxa"/>
            <w:vAlign w:val="center"/>
          </w:tcPr>
          <w:p>
            <w:pPr>
              <w:pStyle w:val="14"/>
            </w:pPr>
          </w:p>
        </w:tc>
        <w:tc>
          <w:tcPr>
            <w:tcW w:w="2551" w:type="dxa"/>
            <w:vAlign w:val="center"/>
          </w:tcPr>
          <w:p>
            <w:pPr>
              <w:pStyle w:val="14"/>
            </w:pPr>
            <w:r>
              <w:t>52.10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4"/>
            </w:pPr>
            <w:r>
              <w:t>13.14</w:t>
            </w:r>
          </w:p>
        </w:tc>
        <w:tc>
          <w:tcPr>
            <w:tcW w:w="2551" w:type="dxa"/>
            <w:vAlign w:val="center"/>
          </w:tcPr>
          <w:p>
            <w:pPr>
              <w:pStyle w:val="14"/>
            </w:pPr>
          </w:p>
        </w:tc>
        <w:tc>
          <w:tcPr>
            <w:tcW w:w="2551" w:type="dxa"/>
            <w:vAlign w:val="center"/>
          </w:tcPr>
          <w:p>
            <w:pPr>
              <w:pStyle w:val="14"/>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60.20</w:t>
            </w:r>
          </w:p>
        </w:tc>
        <w:tc>
          <w:tcPr>
            <w:tcW w:w="2551" w:type="dxa"/>
            <w:vAlign w:val="center"/>
          </w:tcPr>
          <w:p>
            <w:pPr>
              <w:pStyle w:val="14"/>
            </w:pPr>
          </w:p>
        </w:tc>
        <w:tc>
          <w:tcPr>
            <w:tcW w:w="2551" w:type="dxa"/>
            <w:vAlign w:val="center"/>
          </w:tcPr>
          <w:p>
            <w:pPr>
              <w:pStyle w:val="14"/>
            </w:pPr>
            <w:r>
              <w:t>60.20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0.39</w:t>
            </w:r>
          </w:p>
        </w:tc>
        <w:tc>
          <w:tcPr>
            <w:tcW w:w="2551" w:type="dxa"/>
            <w:vAlign w:val="center"/>
          </w:tcPr>
          <w:p>
            <w:pPr>
              <w:pStyle w:val="14"/>
            </w:pPr>
          </w:p>
        </w:tc>
        <w:tc>
          <w:tcPr>
            <w:tcW w:w="2551" w:type="dxa"/>
            <w:vAlign w:val="center"/>
          </w:tcPr>
          <w:p>
            <w:pPr>
              <w:pStyle w:val="14"/>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30215</w:t>
            </w:r>
          </w:p>
        </w:tc>
        <w:tc>
          <w:tcPr>
            <w:tcW w:w="4535" w:type="dxa"/>
            <w:vAlign w:val="center"/>
          </w:tcPr>
          <w:p>
            <w:pPr>
              <w:pStyle w:val="15"/>
            </w:pPr>
            <w:r>
              <w:t>会议费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30216</w:t>
            </w:r>
          </w:p>
        </w:tc>
        <w:tc>
          <w:tcPr>
            <w:tcW w:w="4535" w:type="dxa"/>
            <w:vAlign w:val="center"/>
          </w:tcPr>
          <w:p>
            <w:pPr>
              <w:pStyle w:val="15"/>
            </w:pPr>
            <w:r>
              <w:t>培训费</w:t>
            </w:r>
          </w:p>
        </w:tc>
        <w:tc>
          <w:tcPr>
            <w:tcW w:w="2551" w:type="dxa"/>
            <w:vAlign w:val="center"/>
          </w:tcPr>
          <w:p>
            <w:pPr>
              <w:pStyle w:val="14"/>
            </w:pPr>
            <w:r>
              <w:t>9.94</w:t>
            </w:r>
          </w:p>
        </w:tc>
        <w:tc>
          <w:tcPr>
            <w:tcW w:w="2551" w:type="dxa"/>
            <w:vAlign w:val="center"/>
          </w:tcPr>
          <w:p>
            <w:pPr>
              <w:pStyle w:val="14"/>
            </w:pPr>
          </w:p>
        </w:tc>
        <w:tc>
          <w:tcPr>
            <w:tcW w:w="2551" w:type="dxa"/>
            <w:vAlign w:val="center"/>
          </w:tcPr>
          <w:p>
            <w:pPr>
              <w:pStyle w:val="14"/>
            </w:pPr>
            <w: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2.67</w:t>
            </w:r>
          </w:p>
        </w:tc>
        <w:tc>
          <w:tcPr>
            <w:tcW w:w="2551" w:type="dxa"/>
            <w:vAlign w:val="center"/>
          </w:tcPr>
          <w:p>
            <w:pPr>
              <w:pStyle w:val="14"/>
            </w:pPr>
          </w:p>
        </w:tc>
        <w:tc>
          <w:tcPr>
            <w:tcW w:w="2551" w:type="dxa"/>
            <w:vAlign w:val="center"/>
          </w:tcPr>
          <w:p>
            <w:pPr>
              <w:pStyle w:val="14"/>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13.25</w:t>
            </w:r>
          </w:p>
        </w:tc>
        <w:tc>
          <w:tcPr>
            <w:tcW w:w="2551" w:type="dxa"/>
            <w:vAlign w:val="center"/>
          </w:tcPr>
          <w:p>
            <w:pPr>
              <w:pStyle w:val="14"/>
            </w:pPr>
          </w:p>
        </w:tc>
        <w:tc>
          <w:tcPr>
            <w:tcW w:w="2551" w:type="dxa"/>
            <w:vAlign w:val="center"/>
          </w:tcPr>
          <w:p>
            <w:pPr>
              <w:pStyle w:val="14"/>
            </w:pPr>
            <w:r>
              <w:t>13.25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9.45</w:t>
            </w:r>
          </w:p>
        </w:tc>
        <w:tc>
          <w:tcPr>
            <w:tcW w:w="2551" w:type="dxa"/>
            <w:vAlign w:val="center"/>
          </w:tcPr>
          <w:p>
            <w:pPr>
              <w:pStyle w:val="14"/>
            </w:pPr>
          </w:p>
        </w:tc>
        <w:tc>
          <w:tcPr>
            <w:tcW w:w="2551" w:type="dxa"/>
            <w:vAlign w:val="center"/>
          </w:tcPr>
          <w:p>
            <w:pPr>
              <w:pStyle w:val="14"/>
            </w:pPr>
            <w:r>
              <w:t>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53.43</w:t>
            </w:r>
          </w:p>
        </w:tc>
        <w:tc>
          <w:tcPr>
            <w:tcW w:w="2551" w:type="dxa"/>
            <w:vAlign w:val="center"/>
          </w:tcPr>
          <w:p>
            <w:pPr>
              <w:pStyle w:val="14"/>
            </w:pPr>
          </w:p>
        </w:tc>
        <w:tc>
          <w:tcPr>
            <w:tcW w:w="2551" w:type="dxa"/>
            <w:vAlign w:val="center"/>
          </w:tcPr>
          <w:p>
            <w:pPr>
              <w:pStyle w:val="14"/>
            </w:pPr>
            <w:r>
              <w:t>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77.26</w:t>
            </w:r>
          </w:p>
        </w:tc>
        <w:tc>
          <w:tcPr>
            <w:tcW w:w="2551" w:type="dxa"/>
            <w:vAlign w:val="center"/>
          </w:tcPr>
          <w:p>
            <w:pPr>
              <w:pStyle w:val="14"/>
            </w:pPr>
          </w:p>
        </w:tc>
        <w:tc>
          <w:tcPr>
            <w:tcW w:w="2551" w:type="dxa"/>
            <w:vAlign w:val="center"/>
          </w:tcPr>
          <w:p>
            <w:pPr>
              <w:pStyle w:val="14"/>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28.43</w:t>
            </w:r>
          </w:p>
        </w:tc>
        <w:tc>
          <w:tcPr>
            <w:tcW w:w="2551" w:type="dxa"/>
            <w:vAlign w:val="center"/>
          </w:tcPr>
          <w:p>
            <w:pPr>
              <w:pStyle w:val="14"/>
            </w:pPr>
          </w:p>
        </w:tc>
        <w:tc>
          <w:tcPr>
            <w:tcW w:w="2551" w:type="dxa"/>
            <w:vAlign w:val="center"/>
          </w:tcPr>
          <w:p>
            <w:pPr>
              <w:pStyle w:val="14"/>
            </w:pPr>
            <w:r>
              <w:t>28.43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165.78</w:t>
            </w:r>
          </w:p>
        </w:tc>
        <w:tc>
          <w:tcPr>
            <w:tcW w:w="2551" w:type="dxa"/>
            <w:vAlign w:val="center"/>
          </w:tcPr>
          <w:p>
            <w:pPr>
              <w:pStyle w:val="14"/>
            </w:pPr>
            <w:r>
              <w:t>165.78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30301</w:t>
            </w:r>
          </w:p>
        </w:tc>
        <w:tc>
          <w:tcPr>
            <w:tcW w:w="4535" w:type="dxa"/>
            <w:vAlign w:val="center"/>
          </w:tcPr>
          <w:p>
            <w:pPr>
              <w:pStyle w:val="15"/>
            </w:pPr>
            <w:r>
              <w:t>离休费</w:t>
            </w:r>
          </w:p>
        </w:tc>
        <w:tc>
          <w:tcPr>
            <w:tcW w:w="2551" w:type="dxa"/>
            <w:vAlign w:val="center"/>
          </w:tcPr>
          <w:p>
            <w:pPr>
              <w:pStyle w:val="14"/>
            </w:pPr>
            <w:r>
              <w:t>51.38</w:t>
            </w:r>
          </w:p>
        </w:tc>
        <w:tc>
          <w:tcPr>
            <w:tcW w:w="2551" w:type="dxa"/>
            <w:vAlign w:val="center"/>
          </w:tcPr>
          <w:p>
            <w:pPr>
              <w:pStyle w:val="14"/>
            </w:pPr>
            <w:r>
              <w:t>51.38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113.44</w:t>
            </w:r>
          </w:p>
        </w:tc>
        <w:tc>
          <w:tcPr>
            <w:tcW w:w="2551" w:type="dxa"/>
            <w:vAlign w:val="center"/>
          </w:tcPr>
          <w:p>
            <w:pPr>
              <w:pStyle w:val="14"/>
            </w:pPr>
            <w:r>
              <w:t>113.44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0.24</w:t>
            </w:r>
          </w:p>
        </w:tc>
        <w:tc>
          <w:tcPr>
            <w:tcW w:w="2551" w:type="dxa"/>
            <w:vAlign w:val="center"/>
          </w:tcPr>
          <w:p>
            <w:pPr>
              <w:pStyle w:val="14"/>
            </w:pPr>
            <w:r>
              <w:t>0.24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4"/>
            </w:pPr>
            <w:r>
              <w:t>0.72</w:t>
            </w:r>
          </w:p>
        </w:tc>
        <w:tc>
          <w:tcPr>
            <w:tcW w:w="2551" w:type="dxa"/>
            <w:vAlign w:val="center"/>
          </w:tcPr>
          <w:p>
            <w:pPr>
              <w:pStyle w:val="14"/>
            </w:pPr>
            <w:r>
              <w:t>0.72</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2381" w:type="dxa"/>
            <w:tcBorders>
              <w:top w:val="single" w:color="FFFFFF" w:sz="6" w:space="0"/>
              <w:left w:val="single" w:color="FFFFFF" w:sz="6" w:space="0"/>
              <w:right w:val="single" w:color="FFFFFF" w:sz="6" w:space="0"/>
            </w:tcBorders>
            <w:vAlign w:val="center"/>
          </w:tcPr>
          <w:p>
            <w:pPr>
              <w:pStyle w:val="11"/>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1</w:t>
            </w:r>
          </w:p>
        </w:tc>
        <w:tc>
          <w:tcPr>
            <w:tcW w:w="3798" w:type="dxa"/>
            <w:vAlign w:val="center"/>
          </w:tcPr>
          <w:p>
            <w:pPr>
              <w:pStyle w:val="17"/>
            </w:pPr>
            <w:r>
              <w:t>合计</w:t>
            </w:r>
          </w:p>
        </w:tc>
        <w:tc>
          <w:tcPr>
            <w:tcW w:w="2381" w:type="dxa"/>
            <w:vAlign w:val="center"/>
          </w:tcPr>
          <w:p>
            <w:pPr>
              <w:pStyle w:val="18"/>
            </w:pPr>
            <w:r>
              <w:t>56.10</w:t>
            </w:r>
          </w:p>
        </w:tc>
        <w:tc>
          <w:tcPr>
            <w:tcW w:w="2381" w:type="dxa"/>
            <w:vAlign w:val="center"/>
          </w:tcPr>
          <w:p>
            <w:pPr>
              <w:pStyle w:val="18"/>
            </w:pPr>
            <w:r>
              <w:t>56.10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2</w:t>
            </w:r>
          </w:p>
        </w:tc>
        <w:tc>
          <w:tcPr>
            <w:tcW w:w="3798" w:type="dxa"/>
            <w:vAlign w:val="center"/>
          </w:tcPr>
          <w:p>
            <w:pPr>
              <w:pStyle w:val="15"/>
            </w:pPr>
            <w:r>
              <w:t>“三公”经费小计</w:t>
            </w:r>
          </w:p>
        </w:tc>
        <w:tc>
          <w:tcPr>
            <w:tcW w:w="2381" w:type="dxa"/>
            <w:vAlign w:val="center"/>
          </w:tcPr>
          <w:p>
            <w:pPr>
              <w:pStyle w:val="14"/>
            </w:pPr>
            <w:r>
              <w:t>56.10</w:t>
            </w:r>
          </w:p>
        </w:tc>
        <w:tc>
          <w:tcPr>
            <w:tcW w:w="2381" w:type="dxa"/>
            <w:vAlign w:val="center"/>
          </w:tcPr>
          <w:p>
            <w:pPr>
              <w:pStyle w:val="14"/>
            </w:pPr>
            <w:r>
              <w:t>56.10</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3</w:t>
            </w:r>
          </w:p>
        </w:tc>
        <w:tc>
          <w:tcPr>
            <w:tcW w:w="3798" w:type="dxa"/>
            <w:vAlign w:val="center"/>
          </w:tcPr>
          <w:p>
            <w:pPr>
              <w:pStyle w:val="15"/>
            </w:pPr>
            <w:r>
              <w:t>一、因公出国（境）费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4</w:t>
            </w:r>
          </w:p>
        </w:tc>
        <w:tc>
          <w:tcPr>
            <w:tcW w:w="3798" w:type="dxa"/>
            <w:vAlign w:val="center"/>
          </w:tcPr>
          <w:p>
            <w:pPr>
              <w:pStyle w:val="15"/>
            </w:pPr>
            <w:r>
              <w:t xml:space="preserve">    其中：教学科研人员因公出国（境）费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5</w:t>
            </w:r>
          </w:p>
        </w:tc>
        <w:tc>
          <w:tcPr>
            <w:tcW w:w="3798" w:type="dxa"/>
            <w:vAlign w:val="center"/>
          </w:tcPr>
          <w:p>
            <w:pPr>
              <w:pStyle w:val="15"/>
            </w:pPr>
            <w:r>
              <w:t xml:space="preserve">          其他因公出国（境）费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6</w:t>
            </w:r>
          </w:p>
        </w:tc>
        <w:tc>
          <w:tcPr>
            <w:tcW w:w="3798" w:type="dxa"/>
            <w:vAlign w:val="center"/>
          </w:tcPr>
          <w:p>
            <w:pPr>
              <w:pStyle w:val="15"/>
            </w:pPr>
            <w:r>
              <w:t>二、公务用车购置及运维费</w:t>
            </w:r>
          </w:p>
        </w:tc>
        <w:tc>
          <w:tcPr>
            <w:tcW w:w="2381" w:type="dxa"/>
            <w:vAlign w:val="center"/>
          </w:tcPr>
          <w:p>
            <w:pPr>
              <w:pStyle w:val="14"/>
            </w:pPr>
            <w:r>
              <w:t>53.43</w:t>
            </w:r>
          </w:p>
        </w:tc>
        <w:tc>
          <w:tcPr>
            <w:tcW w:w="2381" w:type="dxa"/>
            <w:vAlign w:val="center"/>
          </w:tcPr>
          <w:p>
            <w:pPr>
              <w:pStyle w:val="14"/>
            </w:pPr>
            <w:r>
              <w:t>53.43</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7</w:t>
            </w:r>
          </w:p>
        </w:tc>
        <w:tc>
          <w:tcPr>
            <w:tcW w:w="3798" w:type="dxa"/>
            <w:vAlign w:val="center"/>
          </w:tcPr>
          <w:p>
            <w:pPr>
              <w:pStyle w:val="15"/>
            </w:pPr>
            <w:r>
              <w:t xml:space="preserve">    其中：公务用车购置费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8</w:t>
            </w:r>
          </w:p>
        </w:tc>
        <w:tc>
          <w:tcPr>
            <w:tcW w:w="3798" w:type="dxa"/>
            <w:vAlign w:val="center"/>
          </w:tcPr>
          <w:p>
            <w:pPr>
              <w:pStyle w:val="15"/>
            </w:pPr>
            <w:r>
              <w:t xml:space="preserve">          公务用车运行维护费</w:t>
            </w:r>
          </w:p>
        </w:tc>
        <w:tc>
          <w:tcPr>
            <w:tcW w:w="2381" w:type="dxa"/>
            <w:vAlign w:val="center"/>
          </w:tcPr>
          <w:p>
            <w:pPr>
              <w:pStyle w:val="14"/>
            </w:pPr>
            <w:r>
              <w:t>53.43</w:t>
            </w:r>
          </w:p>
        </w:tc>
        <w:tc>
          <w:tcPr>
            <w:tcW w:w="2381" w:type="dxa"/>
            <w:vAlign w:val="center"/>
          </w:tcPr>
          <w:p>
            <w:pPr>
              <w:pStyle w:val="14"/>
            </w:pPr>
            <w:r>
              <w:t>53.43</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9</w:t>
            </w:r>
          </w:p>
        </w:tc>
        <w:tc>
          <w:tcPr>
            <w:tcW w:w="3798" w:type="dxa"/>
            <w:vAlign w:val="center"/>
          </w:tcPr>
          <w:p>
            <w:pPr>
              <w:pStyle w:val="15"/>
            </w:pPr>
            <w:r>
              <w:t>三、公务接待费</w:t>
            </w:r>
          </w:p>
        </w:tc>
        <w:tc>
          <w:tcPr>
            <w:tcW w:w="2381" w:type="dxa"/>
            <w:vAlign w:val="center"/>
          </w:tcPr>
          <w:p>
            <w:pPr>
              <w:pStyle w:val="14"/>
            </w:pPr>
            <w:r>
              <w:t>2.67</w:t>
            </w:r>
          </w:p>
        </w:tc>
        <w:tc>
          <w:tcPr>
            <w:tcW w:w="2381" w:type="dxa"/>
            <w:vAlign w:val="center"/>
          </w:tcPr>
          <w:p>
            <w:pPr>
              <w:pStyle w:val="14"/>
            </w:pPr>
            <w:r>
              <w:t>2.67</w:t>
            </w:r>
          </w:p>
        </w:tc>
        <w:tc>
          <w:tcPr>
            <w:tcW w:w="2381" w:type="dxa"/>
            <w:vAlign w:val="center"/>
          </w:tcPr>
          <w:p>
            <w:pPr>
              <w:pStyle w:val="14"/>
            </w:pPr>
          </w:p>
        </w:tc>
        <w:tc>
          <w:tcPr>
            <w:tcW w:w="2381" w:type="dxa"/>
            <w:vAlign w:val="center"/>
          </w:tcPr>
          <w:p>
            <w:pPr>
              <w:pStyle w:val="14"/>
            </w:pPr>
          </w:p>
        </w:tc>
      </w:tr>
    </w:tbl>
    <w:p>
      <w:pPr>
        <w:sectPr>
          <w:pgSz w:w="16840" w:h="11900" w:orient="landscape"/>
          <w:pgMar w:top="1361" w:right="1020" w:bottom="1361" w:left="1020" w:header="720" w:footer="720" w:gutter="0"/>
          <w:cols w:space="720" w:num="1"/>
        </w:sectPr>
      </w:pPr>
    </w:p>
    <w:p>
      <w:pPr>
        <w:jc w:val="center"/>
        <w:outlineLvl w:val="4"/>
        <w:rPr>
          <w:rFonts w:hint="eastAsia" w:ascii="方正小标宋_GBK" w:hAnsi="方正小标宋_GBK" w:cs="方正小标宋_GBK" w:eastAsiaTheme="minorEastAsia"/>
          <w:color w:val="000000"/>
          <w:sz w:val="44"/>
          <w:lang w:eastAsia="zh-CN"/>
        </w:rPr>
      </w:pPr>
      <w:r>
        <w:rPr>
          <w:rFonts w:ascii="方正小标宋_GBK" w:hAnsi="方正小标宋_GBK" w:eastAsia="方正小标宋_GBK" w:cs="方正小标宋_GBK"/>
          <w:color w:val="000000"/>
          <w:sz w:val="44"/>
        </w:rPr>
        <w:t>张家口市人民代表大会常务委员会办公室本级</w:t>
      </w:r>
    </w:p>
    <w:p>
      <w:pPr>
        <w:jc w:val="center"/>
        <w:outlineLvl w:val="4"/>
      </w:pP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0" w:name="_GoBack"/>
      <w:bookmarkEnd w:id="0"/>
      <w:r>
        <w:rPr>
          <w:rFonts w:eastAsia="方正仿宋_GBK"/>
          <w:color w:val="000000"/>
          <w:sz w:val="28"/>
        </w:rPr>
        <w:t>预算法》、《地方预决算公开操作规程》和《关于进一步推进预算公开工作的实施意见》规定，现将张家口市人民代表大会常务委员会办公室本级2022年单位预算公开如下：</w:t>
      </w:r>
    </w:p>
    <w:p>
      <w:pPr>
        <w:spacing w:line="500" w:lineRule="exact"/>
        <w:ind w:firstLine="640"/>
        <w:outlineLvl w:val="5"/>
      </w:pPr>
      <w:r>
        <w:rPr>
          <w:rFonts w:ascii="黑体" w:hAnsi="黑体" w:eastAsia="黑体" w:cs="黑体"/>
          <w:color w:val="000000"/>
          <w:sz w:val="32"/>
        </w:rPr>
        <w:t>一、单位职责及机构设置情况</w:t>
      </w:r>
    </w:p>
    <w:p>
      <w:pPr>
        <w:spacing w:line="500" w:lineRule="exact"/>
        <w:ind w:firstLine="640"/>
      </w:pPr>
      <w:r>
        <w:rPr>
          <w:rFonts w:ascii="方正楷体_GBK" w:hAnsi="方正楷体_GBK" w:eastAsia="方正楷体_GBK" w:cs="方正楷体_GBK"/>
          <w:b/>
          <w:color w:val="000000"/>
          <w:sz w:val="32"/>
        </w:rPr>
        <w:t>单位职责：</w:t>
      </w:r>
    </w:p>
    <w:p>
      <w:pPr>
        <w:pStyle w:val="28"/>
      </w:pPr>
      <w:r>
        <w:t>根据《张家口市人民代表大会常务委员会办公室职能配置、内设机构和人员编制规定》，张家口市人民代表大会常务委员会办公室的主要职责是：</w:t>
      </w:r>
    </w:p>
    <w:p>
      <w:pPr>
        <w:pStyle w:val="28"/>
      </w:pPr>
      <w:r>
        <w:t>市人民代表大会常务委员会是市人民代表大会的常设机关，对市人民代表大会负责并报告工作，对本市行政区域内的下列事项依法审议、决定：</w:t>
      </w:r>
    </w:p>
    <w:p>
      <w:pPr>
        <w:pStyle w:val="28"/>
      </w:pPr>
      <w:r>
        <w:t>(一)宪法、法律、行政法规、地方性法规的遵守和执行情况；本级和上级人民代表大会及其常务委员会决议、决定的遵守和执行;</w:t>
      </w:r>
    </w:p>
    <w:p>
      <w:pPr>
        <w:pStyle w:val="28"/>
      </w:pPr>
      <w:r>
        <w:t>(二)经济、政治、文化、科学、教育、卫生、环境与资源保护、民政、民族等工作的重大事项以及社会稳定、民生保障等人民群众普遍关注和迫切要求解决的重大问题；</w:t>
      </w:r>
    </w:p>
    <w:p>
      <w:pPr>
        <w:pStyle w:val="28"/>
      </w:pPr>
      <w:r>
        <w:t>(三)国民经济和社会发展计划、预算执行情况和部分变更，审查和批准市本级预算；</w:t>
      </w:r>
    </w:p>
    <w:p>
      <w:pPr>
        <w:pStyle w:val="28"/>
      </w:pPr>
      <w:r>
        <w:t>(四)对本级人民政府、人民法院、人民检察院工作的监督；</w:t>
      </w:r>
    </w:p>
    <w:p>
      <w:pPr>
        <w:pStyle w:val="28"/>
      </w:pPr>
      <w:r>
        <w:t>(五)对人民代表大会选举和常务委员会任命的国家机关工作人员的监督；</w:t>
      </w:r>
    </w:p>
    <w:p>
      <w:pPr>
        <w:pStyle w:val="28"/>
      </w:pPr>
      <w:r>
        <w:t>(六)联系本级人民代表大会代表，受理代表提出的建议、批评和意见；受理人民群众对国家机关及其工作人员的申诉和意见；</w:t>
      </w:r>
    </w:p>
    <w:p>
      <w:pPr>
        <w:pStyle w:val="28"/>
      </w:pPr>
      <w:r>
        <w:t>(七)撤销本级人民政府不适当的决定、命令等规范性文件；撤销下一级人民代表大会及其常务委员会不适当的决议、决定;</w:t>
      </w:r>
    </w:p>
    <w:p>
      <w:pPr>
        <w:pStyle w:val="28"/>
      </w:pPr>
      <w:r>
        <w:t>(八)任免、撤销应当由常务委员会任免、撤销的国家机关工作人员职务和接受辞职的事项；本市选举的河北省人民代表大会代表的辞职、出缺代表的补选和个别代表的罢免事项；</w:t>
      </w:r>
    </w:p>
    <w:p>
      <w:pPr>
        <w:pStyle w:val="28"/>
      </w:pPr>
      <w:r>
        <w:t>(九)人民代表大会换届选举工作中的有关重要事项；</w:t>
      </w:r>
    </w:p>
    <w:p>
      <w:pPr>
        <w:pStyle w:val="28"/>
      </w:pPr>
      <w:r>
        <w:t>(十)本级人民代表大会会议的召集和代表大会授权事项的办理；</w:t>
      </w:r>
    </w:p>
    <w:p>
      <w:pPr>
        <w:pStyle w:val="28"/>
      </w:pPr>
      <w:r>
        <w:t>(十一)授予地方荣誉称号；</w:t>
      </w:r>
    </w:p>
    <w:p>
      <w:pPr>
        <w:pStyle w:val="28"/>
      </w:pPr>
      <w:r>
        <w:t>(十二)法律规定和常务委员会认为应当审议、决定的其他事项。</w:t>
      </w:r>
    </w:p>
    <w:p>
      <w:pPr>
        <w:pStyle w:val="28"/>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张家口市人民代表大会常务委员会办公室本级</w:t>
            </w:r>
          </w:p>
        </w:tc>
        <w:tc>
          <w:tcPr>
            <w:tcW w:w="1843" w:type="dxa"/>
            <w:vAlign w:val="center"/>
          </w:tcPr>
          <w:p>
            <w:pPr>
              <w:pStyle w:val="16"/>
            </w:pPr>
            <w:r>
              <w:t>行政</w:t>
            </w:r>
          </w:p>
        </w:tc>
        <w:tc>
          <w:tcPr>
            <w:tcW w:w="2126" w:type="dxa"/>
            <w:vAlign w:val="center"/>
          </w:tcPr>
          <w:p>
            <w:pPr>
              <w:pStyle w:val="16"/>
            </w:pPr>
            <w:r>
              <w:t>正厅（地）级</w:t>
            </w:r>
          </w:p>
        </w:tc>
        <w:tc>
          <w:tcPr>
            <w:tcW w:w="3827" w:type="dxa"/>
            <w:vAlign w:val="center"/>
          </w:tcPr>
          <w:p>
            <w:pPr>
              <w:pStyle w:val="16"/>
            </w:pPr>
            <w:r>
              <w:t>财政拨款</w:t>
            </w:r>
          </w:p>
        </w:tc>
      </w:tr>
    </w:tbl>
    <w:p>
      <w:pPr>
        <w:spacing w:line="500" w:lineRule="exact"/>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单位预算的编制实行综合预算管理，即全部收入和支出都反映在预算中。</w:t>
      </w:r>
    </w:p>
    <w:p>
      <w:pPr>
        <w:pStyle w:val="29"/>
      </w:pPr>
      <w:r>
        <w:t>1、收入说明</w:t>
      </w:r>
    </w:p>
    <w:p>
      <w:pPr>
        <w:pStyle w:val="29"/>
      </w:pPr>
      <w:r>
        <w:t>反映本单位当年全部收入。2022年预算收入2100.32万元，其中：一般公共预算收入2100.32万元，基金预算收入0万元，财政专户核拨收入0万元，单位资金收入0万元，上年结转结余0万元。</w:t>
      </w:r>
    </w:p>
    <w:p>
      <w:pPr>
        <w:pStyle w:val="29"/>
      </w:pPr>
      <w:r>
        <w:t>2、支出说明</w:t>
      </w:r>
    </w:p>
    <w:p>
      <w:pPr>
        <w:pStyle w:val="29"/>
      </w:pPr>
      <w:r>
        <w:t>收支预算总表支出栏、基本支出表、项目支出表按经济分类和支出功能分类科目编制，反映张家口市人民代表大会常务委员会办公室本级年度单位预算中支出预算的总体情况。2022年支出预算为2100.32万元，其中基本支出1526.07万元，包括人员经费1193.22万元和日常公用经费332.85万元；项目支出574.25万元，主要为人大会议经费、人大立法经费、人大监督经费等。</w:t>
      </w:r>
    </w:p>
    <w:p>
      <w:pPr>
        <w:pStyle w:val="29"/>
      </w:pPr>
      <w:r>
        <w:t>3、比上年增减情况</w:t>
      </w:r>
    </w:p>
    <w:p>
      <w:pPr>
        <w:pStyle w:val="29"/>
      </w:pPr>
      <w:r>
        <w:t>2022年单位预算收支安排2100.32万元，较2021年减少120.1万元，其中：基本支出增加2.25万元，主要为增加人员经费支出；项目支出减少122.35万元，主要是压缩各项目支出成本。</w:t>
      </w:r>
    </w:p>
    <w:p>
      <w:pPr>
        <w:spacing w:line="500" w:lineRule="exact"/>
        <w:ind w:firstLine="640"/>
        <w:outlineLvl w:val="5"/>
      </w:pPr>
      <w:r>
        <w:rPr>
          <w:rFonts w:ascii="黑体" w:hAnsi="黑体" w:eastAsia="黑体" w:cs="黑体"/>
          <w:color w:val="000000"/>
          <w:sz w:val="32"/>
        </w:rPr>
        <w:t>三、机关运行经费安排情况</w:t>
      </w:r>
    </w:p>
    <w:p>
      <w:pPr>
        <w:pStyle w:val="30"/>
      </w:pPr>
      <w:r>
        <w:t>2022年，我单位机关运行经费共计安排332.85万元，主要用于日常维修、办公用房物业管理费等日常运行支出。</w:t>
      </w:r>
    </w:p>
    <w:p>
      <w:pPr>
        <w:spacing w:line="500" w:lineRule="exact"/>
        <w:ind w:firstLine="640"/>
        <w:outlineLvl w:val="5"/>
      </w:pPr>
      <w:r>
        <w:rPr>
          <w:rFonts w:ascii="黑体" w:hAnsi="黑体" w:eastAsia="黑体" w:cs="黑体"/>
          <w:color w:val="000000"/>
          <w:sz w:val="32"/>
        </w:rPr>
        <w:t>四、财政拨款“三公”经费预算情况及增减变化原因</w:t>
      </w:r>
    </w:p>
    <w:p>
      <w:pPr>
        <w:pStyle w:val="31"/>
      </w:pPr>
      <w:r>
        <w:t>2022年，我单位财政拨款“三公”经费预算安排56.1万元，其中因公出国（境）费0万元；公务用车购置及运维费53.43万元（其中：公务用车购置费0万元，公务用车运行维护费53.43万元)；公务接待费2.67万元。与2021年相比持平，无增减变化。</w:t>
      </w:r>
    </w:p>
    <w:p>
      <w:pPr>
        <w:spacing w:line="500" w:lineRule="exact"/>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1、人大代表培训经费绩效目标表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1.通过培训，使全市各级人大干部适应新形势的发展，不断提高自身素质和工作水平。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培训次数</w:t>
            </w:r>
          </w:p>
        </w:tc>
        <w:tc>
          <w:tcPr>
            <w:tcW w:w="2835" w:type="dxa"/>
            <w:vAlign w:val="center"/>
          </w:tcPr>
          <w:p>
            <w:pPr>
              <w:pStyle w:val="15"/>
            </w:pPr>
            <w:r>
              <w:t>组织培训次数</w:t>
            </w:r>
          </w:p>
        </w:tc>
        <w:tc>
          <w:tcPr>
            <w:tcW w:w="2551" w:type="dxa"/>
            <w:vAlign w:val="center"/>
          </w:tcPr>
          <w:p>
            <w:pPr>
              <w:pStyle w:val="15"/>
            </w:pPr>
            <w:r>
              <w:t>≥2次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培训人次</w:t>
            </w:r>
          </w:p>
        </w:tc>
        <w:tc>
          <w:tcPr>
            <w:tcW w:w="2835" w:type="dxa"/>
            <w:vAlign w:val="center"/>
          </w:tcPr>
          <w:p>
            <w:pPr>
              <w:pStyle w:val="15"/>
            </w:pPr>
            <w:r>
              <w:t>组织培训人次</w:t>
            </w:r>
          </w:p>
        </w:tc>
        <w:tc>
          <w:tcPr>
            <w:tcW w:w="2551" w:type="dxa"/>
            <w:vAlign w:val="center"/>
          </w:tcPr>
          <w:p>
            <w:pPr>
              <w:pStyle w:val="15"/>
            </w:pPr>
            <w:r>
              <w:t>≥200人次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培训出勤率</w:t>
            </w:r>
          </w:p>
        </w:tc>
        <w:tc>
          <w:tcPr>
            <w:tcW w:w="2835" w:type="dxa"/>
            <w:vAlign w:val="center"/>
          </w:tcPr>
          <w:p>
            <w:pPr>
              <w:pStyle w:val="15"/>
            </w:pPr>
            <w:r>
              <w:t>培训时人员出勤率</w:t>
            </w:r>
          </w:p>
        </w:tc>
        <w:tc>
          <w:tcPr>
            <w:tcW w:w="2551" w:type="dxa"/>
            <w:vAlign w:val="center"/>
          </w:tcPr>
          <w:p>
            <w:pPr>
              <w:pStyle w:val="15"/>
            </w:pPr>
            <w:r>
              <w:t>≥97%</w:t>
            </w:r>
          </w:p>
        </w:tc>
        <w:tc>
          <w:tcPr>
            <w:tcW w:w="2268" w:type="dxa"/>
            <w:vAlign w:val="center"/>
          </w:tcPr>
          <w:p>
            <w:pPr>
              <w:pStyle w:val="15"/>
            </w:pPr>
            <w:r>
              <w:t>参考往年情况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培训人员合格率</w:t>
            </w:r>
          </w:p>
        </w:tc>
        <w:tc>
          <w:tcPr>
            <w:tcW w:w="2551" w:type="dxa"/>
            <w:vAlign w:val="center"/>
          </w:tcPr>
          <w:p>
            <w:pPr>
              <w:pStyle w:val="15"/>
            </w:pPr>
            <w:r>
              <w:t>≥95%</w:t>
            </w:r>
          </w:p>
        </w:tc>
        <w:tc>
          <w:tcPr>
            <w:tcW w:w="2268" w:type="dxa"/>
            <w:vAlign w:val="center"/>
          </w:tcPr>
          <w:p>
            <w:pPr>
              <w:pStyle w:val="15"/>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培训及时率</w:t>
            </w:r>
          </w:p>
        </w:tc>
        <w:tc>
          <w:tcPr>
            <w:tcW w:w="2835" w:type="dxa"/>
            <w:vAlign w:val="center"/>
          </w:tcPr>
          <w:p>
            <w:pPr>
              <w:pStyle w:val="15"/>
            </w:pPr>
            <w:r>
              <w:t>每年3-11月集中培训</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培训成本</w:t>
            </w:r>
          </w:p>
        </w:tc>
        <w:tc>
          <w:tcPr>
            <w:tcW w:w="2835" w:type="dxa"/>
            <w:vAlign w:val="center"/>
          </w:tcPr>
          <w:p>
            <w:pPr>
              <w:pStyle w:val="15"/>
            </w:pPr>
            <w:r>
              <w:t>包括培训所需食宿、授课、场地等费用</w:t>
            </w:r>
          </w:p>
        </w:tc>
        <w:tc>
          <w:tcPr>
            <w:tcW w:w="2551" w:type="dxa"/>
            <w:vAlign w:val="center"/>
          </w:tcPr>
          <w:p>
            <w:pPr>
              <w:pStyle w:val="15"/>
            </w:pPr>
            <w:r>
              <w:t>≤35.77万元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印刷成本</w:t>
            </w:r>
          </w:p>
        </w:tc>
        <w:tc>
          <w:tcPr>
            <w:tcW w:w="2835" w:type="dxa"/>
            <w:vAlign w:val="center"/>
          </w:tcPr>
          <w:p>
            <w:pPr>
              <w:pStyle w:val="15"/>
            </w:pPr>
            <w:r>
              <w:t>培训期间印刷费用</w:t>
            </w:r>
          </w:p>
        </w:tc>
        <w:tc>
          <w:tcPr>
            <w:tcW w:w="2551" w:type="dxa"/>
            <w:vAlign w:val="center"/>
          </w:tcPr>
          <w:p>
            <w:pPr>
              <w:pStyle w:val="15"/>
            </w:pPr>
            <w:r>
              <w:t>≤1.5万元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交通成本</w:t>
            </w:r>
          </w:p>
        </w:tc>
        <w:tc>
          <w:tcPr>
            <w:tcW w:w="2835" w:type="dxa"/>
            <w:vAlign w:val="center"/>
          </w:tcPr>
          <w:p>
            <w:pPr>
              <w:pStyle w:val="15"/>
            </w:pPr>
            <w:r>
              <w:t>培训期间交通费用</w:t>
            </w:r>
          </w:p>
        </w:tc>
        <w:tc>
          <w:tcPr>
            <w:tcW w:w="2551" w:type="dxa"/>
            <w:vAlign w:val="center"/>
          </w:tcPr>
          <w:p>
            <w:pPr>
              <w:pStyle w:val="15"/>
            </w:pPr>
            <w:r>
              <w:t>≤0.8万元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增强履职水平</w:t>
            </w:r>
          </w:p>
        </w:tc>
        <w:tc>
          <w:tcPr>
            <w:tcW w:w="2835" w:type="dxa"/>
            <w:vAlign w:val="center"/>
          </w:tcPr>
          <w:p>
            <w:pPr>
              <w:pStyle w:val="15"/>
            </w:pPr>
            <w:r>
              <w:t>通过专题培训，提升人大干部工作能力，补齐短板</w:t>
            </w:r>
          </w:p>
        </w:tc>
        <w:tc>
          <w:tcPr>
            <w:tcW w:w="2551" w:type="dxa"/>
            <w:vAlign w:val="center"/>
          </w:tcPr>
          <w:p>
            <w:pPr>
              <w:pStyle w:val="15"/>
            </w:pPr>
            <w:r>
              <w:t>较上一年有提升</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参训人员满意度</w:t>
            </w:r>
          </w:p>
        </w:tc>
        <w:tc>
          <w:tcPr>
            <w:tcW w:w="2835" w:type="dxa"/>
            <w:vAlign w:val="center"/>
          </w:tcPr>
          <w:p>
            <w:pPr>
              <w:pStyle w:val="15"/>
            </w:pPr>
            <w:r>
              <w:t>参训人员对培训满意度</w:t>
            </w:r>
          </w:p>
        </w:tc>
        <w:tc>
          <w:tcPr>
            <w:tcW w:w="2551" w:type="dxa"/>
            <w:vAlign w:val="center"/>
          </w:tcPr>
          <w:p>
            <w:pPr>
              <w:pStyle w:val="15"/>
            </w:pPr>
            <w:r>
              <w:t>≥98%</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2、人大代表执法检查工作经费绩效目标表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 通过开展执法检查，监督宪法和法律在我市行政区域内正确实施、一府一委两院依法开展工作、市本级预算按照人代会通过的预算有效实施、经济和社会发展计划有效实施。</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执法检查次数</w:t>
            </w:r>
          </w:p>
        </w:tc>
        <w:tc>
          <w:tcPr>
            <w:tcW w:w="2835" w:type="dxa"/>
            <w:vAlign w:val="center"/>
          </w:tcPr>
          <w:p>
            <w:pPr>
              <w:pStyle w:val="15"/>
            </w:pPr>
            <w:r>
              <w:t>开展执法检查次数</w:t>
            </w:r>
          </w:p>
        </w:tc>
        <w:tc>
          <w:tcPr>
            <w:tcW w:w="2551" w:type="dxa"/>
            <w:vAlign w:val="center"/>
          </w:tcPr>
          <w:p>
            <w:pPr>
              <w:pStyle w:val="15"/>
            </w:pPr>
            <w:r>
              <w:t>≥35次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执法检查人数</w:t>
            </w:r>
          </w:p>
        </w:tc>
        <w:tc>
          <w:tcPr>
            <w:tcW w:w="2835" w:type="dxa"/>
            <w:vAlign w:val="center"/>
          </w:tcPr>
          <w:p>
            <w:pPr>
              <w:pStyle w:val="15"/>
            </w:pPr>
            <w:r>
              <w:t>全年参加执法检查总人数</w:t>
            </w:r>
          </w:p>
        </w:tc>
        <w:tc>
          <w:tcPr>
            <w:tcW w:w="2551" w:type="dxa"/>
            <w:vAlign w:val="center"/>
          </w:tcPr>
          <w:p>
            <w:pPr>
              <w:pStyle w:val="15"/>
            </w:pPr>
            <w:r>
              <w:t>≥500人次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执法检查会议次数</w:t>
            </w:r>
          </w:p>
        </w:tc>
        <w:tc>
          <w:tcPr>
            <w:tcW w:w="2835" w:type="dxa"/>
            <w:vAlign w:val="center"/>
          </w:tcPr>
          <w:p>
            <w:pPr>
              <w:pStyle w:val="15"/>
            </w:pPr>
            <w:r>
              <w:t>召开执法检查有关会议次数</w:t>
            </w:r>
          </w:p>
        </w:tc>
        <w:tc>
          <w:tcPr>
            <w:tcW w:w="2551" w:type="dxa"/>
            <w:vAlign w:val="center"/>
          </w:tcPr>
          <w:p>
            <w:pPr>
              <w:pStyle w:val="15"/>
            </w:pPr>
            <w:r>
              <w:t>≥8次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执法检查培训次数</w:t>
            </w:r>
          </w:p>
        </w:tc>
        <w:tc>
          <w:tcPr>
            <w:tcW w:w="2835" w:type="dxa"/>
            <w:vAlign w:val="center"/>
          </w:tcPr>
          <w:p>
            <w:pPr>
              <w:pStyle w:val="15"/>
            </w:pPr>
            <w:r>
              <w:t>组织执法检查培训次数</w:t>
            </w:r>
          </w:p>
        </w:tc>
        <w:tc>
          <w:tcPr>
            <w:tcW w:w="2551" w:type="dxa"/>
            <w:vAlign w:val="center"/>
          </w:tcPr>
          <w:p>
            <w:pPr>
              <w:pStyle w:val="15"/>
            </w:pPr>
            <w:r>
              <w:t>≥1次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资产采购数量</w:t>
            </w:r>
          </w:p>
        </w:tc>
        <w:tc>
          <w:tcPr>
            <w:tcW w:w="2835" w:type="dxa"/>
            <w:vAlign w:val="center"/>
          </w:tcPr>
          <w:p>
            <w:pPr>
              <w:pStyle w:val="15"/>
            </w:pPr>
            <w:r>
              <w:t>采购复印件、速印机等资产数量</w:t>
            </w:r>
          </w:p>
        </w:tc>
        <w:tc>
          <w:tcPr>
            <w:tcW w:w="2551" w:type="dxa"/>
            <w:vAlign w:val="center"/>
          </w:tcPr>
          <w:p>
            <w:pPr>
              <w:pStyle w:val="15"/>
            </w:pPr>
            <w:r>
              <w:t>≤2台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整改完成率</w:t>
            </w:r>
          </w:p>
        </w:tc>
        <w:tc>
          <w:tcPr>
            <w:tcW w:w="2835" w:type="dxa"/>
            <w:vAlign w:val="center"/>
          </w:tcPr>
          <w:p>
            <w:pPr>
              <w:pStyle w:val="15"/>
            </w:pPr>
            <w:r>
              <w:t>执法检查发现问题整改完成率</w:t>
            </w:r>
          </w:p>
        </w:tc>
        <w:tc>
          <w:tcPr>
            <w:tcW w:w="2551" w:type="dxa"/>
            <w:vAlign w:val="center"/>
          </w:tcPr>
          <w:p>
            <w:pPr>
              <w:pStyle w:val="15"/>
            </w:pPr>
            <w:r>
              <w:t>≥95%</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提出意见建议数量</w:t>
            </w:r>
          </w:p>
        </w:tc>
        <w:tc>
          <w:tcPr>
            <w:tcW w:w="2835" w:type="dxa"/>
            <w:vAlign w:val="center"/>
          </w:tcPr>
          <w:p>
            <w:pPr>
              <w:pStyle w:val="15"/>
            </w:pPr>
            <w:r>
              <w:t>全年执法检查提出意见建议数量</w:t>
            </w:r>
          </w:p>
        </w:tc>
        <w:tc>
          <w:tcPr>
            <w:tcW w:w="2551" w:type="dxa"/>
            <w:vAlign w:val="center"/>
          </w:tcPr>
          <w:p>
            <w:pPr>
              <w:pStyle w:val="15"/>
            </w:pPr>
            <w:r>
              <w:t>≥70条</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执法检查会议参会率</w:t>
            </w:r>
          </w:p>
        </w:tc>
        <w:tc>
          <w:tcPr>
            <w:tcW w:w="2835" w:type="dxa"/>
            <w:vAlign w:val="center"/>
          </w:tcPr>
          <w:p>
            <w:pPr>
              <w:pStyle w:val="15"/>
            </w:pPr>
            <w:r>
              <w:t>执法检查人员参加会议出勤率</w:t>
            </w:r>
          </w:p>
        </w:tc>
        <w:tc>
          <w:tcPr>
            <w:tcW w:w="2551" w:type="dxa"/>
            <w:vAlign w:val="center"/>
          </w:tcPr>
          <w:p>
            <w:pPr>
              <w:pStyle w:val="15"/>
            </w:pPr>
            <w:r>
              <w:t>≥95%</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执法检查培训参训率</w:t>
            </w:r>
          </w:p>
        </w:tc>
        <w:tc>
          <w:tcPr>
            <w:tcW w:w="2835" w:type="dxa"/>
            <w:vAlign w:val="center"/>
          </w:tcPr>
          <w:p>
            <w:pPr>
              <w:pStyle w:val="15"/>
            </w:pPr>
            <w:r>
              <w:t>执法检查人员参加培训出勤率</w:t>
            </w:r>
          </w:p>
        </w:tc>
        <w:tc>
          <w:tcPr>
            <w:tcW w:w="2551" w:type="dxa"/>
            <w:vAlign w:val="center"/>
          </w:tcPr>
          <w:p>
            <w:pPr>
              <w:pStyle w:val="15"/>
            </w:pPr>
            <w:r>
              <w:t>≥95%</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执法检查及时率</w:t>
            </w:r>
          </w:p>
        </w:tc>
        <w:tc>
          <w:tcPr>
            <w:tcW w:w="2835" w:type="dxa"/>
            <w:vAlign w:val="center"/>
          </w:tcPr>
          <w:p>
            <w:pPr>
              <w:pStyle w:val="15"/>
            </w:pPr>
            <w:r>
              <w:t>执法检查主要安排在下半年</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执法检查会议成本（含电视电话会议）</w:t>
            </w:r>
          </w:p>
        </w:tc>
        <w:tc>
          <w:tcPr>
            <w:tcW w:w="2551" w:type="dxa"/>
            <w:vAlign w:val="center"/>
          </w:tcPr>
          <w:p>
            <w:pPr>
              <w:pStyle w:val="15"/>
            </w:pPr>
            <w:r>
              <w:t>≤62.12万元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文件印刷成本</w:t>
            </w:r>
          </w:p>
        </w:tc>
        <w:tc>
          <w:tcPr>
            <w:tcW w:w="2551" w:type="dxa"/>
            <w:vAlign w:val="center"/>
          </w:tcPr>
          <w:p>
            <w:pPr>
              <w:pStyle w:val="15"/>
            </w:pPr>
            <w:r>
              <w:t>≤22.21万元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办公用品购置成本</w:t>
            </w:r>
          </w:p>
        </w:tc>
        <w:tc>
          <w:tcPr>
            <w:tcW w:w="2551" w:type="dxa"/>
            <w:vAlign w:val="center"/>
          </w:tcPr>
          <w:p>
            <w:pPr>
              <w:pStyle w:val="15"/>
            </w:pPr>
            <w:r>
              <w:t>≤1.76万元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交通成本（租车费）</w:t>
            </w:r>
          </w:p>
        </w:tc>
        <w:tc>
          <w:tcPr>
            <w:tcW w:w="2551" w:type="dxa"/>
            <w:vAlign w:val="center"/>
          </w:tcPr>
          <w:p>
            <w:pPr>
              <w:pStyle w:val="15"/>
            </w:pPr>
            <w:r>
              <w:t>≤35.03万元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购置固定资产费用</w:t>
            </w:r>
          </w:p>
        </w:tc>
        <w:tc>
          <w:tcPr>
            <w:tcW w:w="2551" w:type="dxa"/>
            <w:vAlign w:val="center"/>
          </w:tcPr>
          <w:p>
            <w:pPr>
              <w:pStyle w:val="15"/>
            </w:pPr>
            <w:r>
              <w:t>≤5.1万元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执法检查培训成本</w:t>
            </w:r>
          </w:p>
        </w:tc>
        <w:tc>
          <w:tcPr>
            <w:tcW w:w="2551" w:type="dxa"/>
            <w:vAlign w:val="center"/>
          </w:tcPr>
          <w:p>
            <w:pPr>
              <w:pStyle w:val="15"/>
            </w:pPr>
            <w:r>
              <w:t>≤5万元</w:t>
            </w:r>
          </w:p>
        </w:tc>
        <w:tc>
          <w:tcPr>
            <w:tcW w:w="2268" w:type="dxa"/>
            <w:vAlign w:val="center"/>
          </w:tcPr>
          <w:p>
            <w:pPr>
              <w:pStyle w:val="15"/>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监督国家机关依法行政</w:t>
            </w:r>
          </w:p>
        </w:tc>
        <w:tc>
          <w:tcPr>
            <w:tcW w:w="2835" w:type="dxa"/>
            <w:vAlign w:val="center"/>
          </w:tcPr>
          <w:p>
            <w:pPr>
              <w:pStyle w:val="15"/>
            </w:pPr>
            <w:r>
              <w:t>监督宪法和法律在我市行政区域内正确实施，一府一委两院依法开展工作</w:t>
            </w:r>
          </w:p>
        </w:tc>
        <w:tc>
          <w:tcPr>
            <w:tcW w:w="2551" w:type="dxa"/>
            <w:vAlign w:val="center"/>
          </w:tcPr>
          <w:p>
            <w:pPr>
              <w:pStyle w:val="15"/>
            </w:pPr>
            <w:r>
              <w:t>切实履行监督职责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监督计划实施</w:t>
            </w:r>
          </w:p>
        </w:tc>
        <w:tc>
          <w:tcPr>
            <w:tcW w:w="2835" w:type="dxa"/>
            <w:vAlign w:val="center"/>
          </w:tcPr>
          <w:p>
            <w:pPr>
              <w:pStyle w:val="15"/>
            </w:pPr>
            <w:r>
              <w:t>监督我市党委、政府制定的经济和社会发展计划得到有效实施</w:t>
            </w:r>
          </w:p>
        </w:tc>
        <w:tc>
          <w:tcPr>
            <w:tcW w:w="2551" w:type="dxa"/>
            <w:vAlign w:val="center"/>
          </w:tcPr>
          <w:p>
            <w:pPr>
              <w:pStyle w:val="15"/>
            </w:pPr>
            <w:r>
              <w:t>切实履行监督职责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被检查对象满意度</w:t>
            </w:r>
          </w:p>
        </w:tc>
        <w:tc>
          <w:tcPr>
            <w:tcW w:w="2835" w:type="dxa"/>
            <w:vAlign w:val="center"/>
          </w:tcPr>
          <w:p>
            <w:pPr>
              <w:pStyle w:val="15"/>
            </w:pPr>
            <w:r>
              <w:t>被检查对象对执法检查满意度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3、人大代表专项活动经费绩效目标表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1.订阅刊物、印发资料，为代表履职拓宽思路、开阔视野，促进依法履职。</w:t>
            </w:r>
          </w:p>
          <w:p>
            <w:pPr>
              <w:pStyle w:val="15"/>
            </w:pPr>
            <w:r>
              <w:t>2.组织调研，提高代表参政议政热情和履职能力。</w:t>
            </w:r>
          </w:p>
          <w:p>
            <w:pPr>
              <w:pStyle w:val="15"/>
            </w:pPr>
            <w:r>
              <w:t>3.向代表团下拨代表经费，为人大代表视察、执法检查、专题调研等活动，以及 “代表联络站”常态化运行提供服务保障。</w:t>
            </w:r>
          </w:p>
          <w:p>
            <w:pPr>
              <w:pStyle w:val="15"/>
            </w:pPr>
            <w:r>
              <w:t>4.为全国、省人大代表出席全国、省人代会提供服务保障。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会议保障次数</w:t>
            </w:r>
          </w:p>
        </w:tc>
        <w:tc>
          <w:tcPr>
            <w:tcW w:w="2835" w:type="dxa"/>
            <w:vAlign w:val="center"/>
          </w:tcPr>
          <w:p>
            <w:pPr>
              <w:pStyle w:val="15"/>
            </w:pPr>
            <w:r>
              <w:t>为全国、省人大代表出席全国、省人代会提供服务保障</w:t>
            </w:r>
          </w:p>
        </w:tc>
        <w:tc>
          <w:tcPr>
            <w:tcW w:w="2551" w:type="dxa"/>
            <w:vAlign w:val="center"/>
          </w:tcPr>
          <w:p>
            <w:pPr>
              <w:pStyle w:val="15"/>
            </w:pPr>
            <w:r>
              <w:t>≥2次</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经费下拨代表团数</w:t>
            </w:r>
          </w:p>
        </w:tc>
        <w:tc>
          <w:tcPr>
            <w:tcW w:w="2835" w:type="dxa"/>
            <w:vAlign w:val="center"/>
          </w:tcPr>
          <w:p>
            <w:pPr>
              <w:pStyle w:val="15"/>
            </w:pPr>
            <w:r>
              <w:t>按照各代表团人数，下拨代表活动经费</w:t>
            </w:r>
          </w:p>
        </w:tc>
        <w:tc>
          <w:tcPr>
            <w:tcW w:w="2551" w:type="dxa"/>
            <w:vAlign w:val="center"/>
          </w:tcPr>
          <w:p>
            <w:pPr>
              <w:pStyle w:val="15"/>
            </w:pPr>
            <w:r>
              <w:t>≤19个</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调研次数</w:t>
            </w:r>
          </w:p>
        </w:tc>
        <w:tc>
          <w:tcPr>
            <w:tcW w:w="2835" w:type="dxa"/>
            <w:vAlign w:val="center"/>
          </w:tcPr>
          <w:p>
            <w:pPr>
              <w:pStyle w:val="15"/>
            </w:pPr>
            <w:r>
              <w:t>组织全国、省、市人大代表进行调研</w:t>
            </w:r>
          </w:p>
        </w:tc>
        <w:tc>
          <w:tcPr>
            <w:tcW w:w="2551" w:type="dxa"/>
            <w:vAlign w:val="center"/>
          </w:tcPr>
          <w:p>
            <w:pPr>
              <w:pStyle w:val="15"/>
            </w:pPr>
            <w:r>
              <w:t>≥4次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书报、内刊订阅人数</w:t>
            </w:r>
          </w:p>
        </w:tc>
        <w:tc>
          <w:tcPr>
            <w:tcW w:w="2835" w:type="dxa"/>
            <w:vAlign w:val="center"/>
          </w:tcPr>
          <w:p>
            <w:pPr>
              <w:pStyle w:val="15"/>
            </w:pPr>
            <w:r>
              <w:t>按人大代表人数订阅书报、印制资料</w:t>
            </w:r>
          </w:p>
        </w:tc>
        <w:tc>
          <w:tcPr>
            <w:tcW w:w="2551" w:type="dxa"/>
            <w:vAlign w:val="center"/>
          </w:tcPr>
          <w:p>
            <w:pPr>
              <w:pStyle w:val="15"/>
            </w:pPr>
            <w:r>
              <w:t>≤476人</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会议保障率</w:t>
            </w:r>
          </w:p>
        </w:tc>
        <w:tc>
          <w:tcPr>
            <w:tcW w:w="2835" w:type="dxa"/>
            <w:vAlign w:val="center"/>
          </w:tcPr>
          <w:p>
            <w:pPr>
              <w:pStyle w:val="15"/>
            </w:pPr>
            <w:r>
              <w:t>会议服务保障率</w:t>
            </w:r>
          </w:p>
        </w:tc>
        <w:tc>
          <w:tcPr>
            <w:tcW w:w="2551" w:type="dxa"/>
            <w:vAlign w:val="center"/>
          </w:tcPr>
          <w:p>
            <w:pPr>
              <w:pStyle w:val="15"/>
            </w:pPr>
            <w:r>
              <w:t>100%</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经费下拨覆盖率</w:t>
            </w:r>
          </w:p>
        </w:tc>
        <w:tc>
          <w:tcPr>
            <w:tcW w:w="2835" w:type="dxa"/>
            <w:vAlign w:val="center"/>
          </w:tcPr>
          <w:p>
            <w:pPr>
              <w:pStyle w:val="15"/>
            </w:pPr>
            <w:r>
              <w:t>按要求时限，将活动经费下拨至区县人大</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调研报告份数</w:t>
            </w:r>
          </w:p>
        </w:tc>
        <w:tc>
          <w:tcPr>
            <w:tcW w:w="2835" w:type="dxa"/>
            <w:vAlign w:val="center"/>
          </w:tcPr>
          <w:p>
            <w:pPr>
              <w:pStyle w:val="15"/>
            </w:pPr>
            <w:r>
              <w:t>代表调研撰写报告份数（以区县、全国、省代表小组为单位）</w:t>
            </w:r>
          </w:p>
        </w:tc>
        <w:tc>
          <w:tcPr>
            <w:tcW w:w="2551" w:type="dxa"/>
            <w:vAlign w:val="center"/>
          </w:tcPr>
          <w:p>
            <w:pPr>
              <w:pStyle w:val="15"/>
            </w:pPr>
            <w:r>
              <w:t>40份</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书报、内刊订阅覆盖率</w:t>
            </w:r>
          </w:p>
        </w:tc>
        <w:tc>
          <w:tcPr>
            <w:tcW w:w="2835" w:type="dxa"/>
            <w:vAlign w:val="center"/>
          </w:tcPr>
          <w:p>
            <w:pPr>
              <w:pStyle w:val="15"/>
            </w:pPr>
            <w:r>
              <w:t>按代表人数订阅书报</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会议服务及时率</w:t>
            </w:r>
          </w:p>
        </w:tc>
        <w:tc>
          <w:tcPr>
            <w:tcW w:w="2835" w:type="dxa"/>
            <w:vAlign w:val="center"/>
          </w:tcPr>
          <w:p>
            <w:pPr>
              <w:pStyle w:val="15"/>
            </w:pPr>
            <w:r>
              <w:t>1月、3月为全国、省人大代表出席全国、省人代会提供服务保障</w:t>
            </w:r>
          </w:p>
        </w:tc>
        <w:tc>
          <w:tcPr>
            <w:tcW w:w="2551" w:type="dxa"/>
            <w:vAlign w:val="center"/>
          </w:tcPr>
          <w:p>
            <w:pPr>
              <w:pStyle w:val="15"/>
            </w:pPr>
            <w:r>
              <w:t>100%</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活动经费下拨及时率</w:t>
            </w:r>
          </w:p>
        </w:tc>
        <w:tc>
          <w:tcPr>
            <w:tcW w:w="2835" w:type="dxa"/>
            <w:vAlign w:val="center"/>
          </w:tcPr>
          <w:p>
            <w:pPr>
              <w:pStyle w:val="15"/>
            </w:pPr>
            <w:r>
              <w:t>4-6月下拨代表活动经费</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订阅及时率</w:t>
            </w:r>
          </w:p>
        </w:tc>
        <w:tc>
          <w:tcPr>
            <w:tcW w:w="2835" w:type="dxa"/>
            <w:vAlign w:val="center"/>
          </w:tcPr>
          <w:p>
            <w:pPr>
              <w:pStyle w:val="15"/>
            </w:pPr>
            <w:r>
              <w:t>上一年底订阅下一年书报</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调研及时率</w:t>
            </w:r>
          </w:p>
        </w:tc>
        <w:tc>
          <w:tcPr>
            <w:tcW w:w="2835" w:type="dxa"/>
            <w:vAlign w:val="center"/>
          </w:tcPr>
          <w:p>
            <w:pPr>
              <w:pStyle w:val="15"/>
            </w:pPr>
            <w:r>
              <w:t>6月至12月组织调研</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会议保障成本</w:t>
            </w:r>
          </w:p>
        </w:tc>
        <w:tc>
          <w:tcPr>
            <w:tcW w:w="2835" w:type="dxa"/>
            <w:vAlign w:val="center"/>
          </w:tcPr>
          <w:p>
            <w:pPr>
              <w:pStyle w:val="15"/>
            </w:pPr>
            <w:r>
              <w:t>为全国、省人大代表出席会议提供保障费用</w:t>
            </w:r>
          </w:p>
        </w:tc>
        <w:tc>
          <w:tcPr>
            <w:tcW w:w="2551" w:type="dxa"/>
            <w:vAlign w:val="center"/>
          </w:tcPr>
          <w:p>
            <w:pPr>
              <w:pStyle w:val="15"/>
            </w:pPr>
            <w:r>
              <w:t>≤1.8万元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调研成本</w:t>
            </w:r>
          </w:p>
        </w:tc>
        <w:tc>
          <w:tcPr>
            <w:tcW w:w="2835" w:type="dxa"/>
            <w:vAlign w:val="center"/>
          </w:tcPr>
          <w:p>
            <w:pPr>
              <w:pStyle w:val="15"/>
            </w:pPr>
            <w:r>
              <w:t>包括调研期间食宿、印刷、办公、交通等费用</w:t>
            </w:r>
          </w:p>
        </w:tc>
        <w:tc>
          <w:tcPr>
            <w:tcW w:w="2551" w:type="dxa"/>
            <w:vAlign w:val="center"/>
          </w:tcPr>
          <w:p>
            <w:pPr>
              <w:pStyle w:val="15"/>
            </w:pPr>
            <w:r>
              <w:t>≤35828元</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人均订阅成本</w:t>
            </w:r>
          </w:p>
        </w:tc>
        <w:tc>
          <w:tcPr>
            <w:tcW w:w="2835" w:type="dxa"/>
            <w:vAlign w:val="center"/>
          </w:tcPr>
          <w:p>
            <w:pPr>
              <w:pStyle w:val="15"/>
            </w:pPr>
            <w:r>
              <w:t>为全国、省、市人大代表订阅书报、印制内刊人均成本</w:t>
            </w:r>
          </w:p>
        </w:tc>
        <w:tc>
          <w:tcPr>
            <w:tcW w:w="2551" w:type="dxa"/>
            <w:vAlign w:val="center"/>
          </w:tcPr>
          <w:p>
            <w:pPr>
              <w:pStyle w:val="15"/>
            </w:pPr>
            <w:r>
              <w:t>≤422元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人均活动经费标准</w:t>
            </w:r>
          </w:p>
        </w:tc>
        <w:tc>
          <w:tcPr>
            <w:tcW w:w="2835" w:type="dxa"/>
            <w:vAlign w:val="center"/>
          </w:tcPr>
          <w:p>
            <w:pPr>
              <w:pStyle w:val="15"/>
            </w:pPr>
            <w:r>
              <w:t>按照人均2000元标准，下拨代表活动经费</w:t>
            </w:r>
          </w:p>
        </w:tc>
        <w:tc>
          <w:tcPr>
            <w:tcW w:w="2551" w:type="dxa"/>
            <w:vAlign w:val="center"/>
          </w:tcPr>
          <w:p>
            <w:pPr>
              <w:pStyle w:val="15"/>
            </w:pPr>
            <w:r>
              <w:t>1600元</w:t>
            </w:r>
          </w:p>
        </w:tc>
        <w:tc>
          <w:tcPr>
            <w:tcW w:w="2268" w:type="dxa"/>
            <w:vAlign w:val="center"/>
          </w:tcPr>
          <w:p>
            <w:pPr>
              <w:pStyle w:val="15"/>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代表了解社情民意</w:t>
            </w:r>
          </w:p>
        </w:tc>
        <w:tc>
          <w:tcPr>
            <w:tcW w:w="2835" w:type="dxa"/>
            <w:vAlign w:val="center"/>
          </w:tcPr>
          <w:p>
            <w:pPr>
              <w:pStyle w:val="15"/>
            </w:pPr>
            <w:r>
              <w:t>通过组织调研视察、下拨经费，让代表深入基层，了解百姓心声</w:t>
            </w:r>
          </w:p>
        </w:tc>
        <w:tc>
          <w:tcPr>
            <w:tcW w:w="2551" w:type="dxa"/>
            <w:vAlign w:val="center"/>
          </w:tcPr>
          <w:p>
            <w:pPr>
              <w:pStyle w:val="15"/>
            </w:pPr>
            <w:r>
              <w:t>及时了解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提升代表素质</w:t>
            </w:r>
          </w:p>
        </w:tc>
        <w:tc>
          <w:tcPr>
            <w:tcW w:w="2835" w:type="dxa"/>
            <w:vAlign w:val="center"/>
          </w:tcPr>
          <w:p>
            <w:pPr>
              <w:pStyle w:val="15"/>
            </w:pPr>
            <w:r>
              <w:t>通过订阅书报，向代表传达中央精神，提高素质</w:t>
            </w:r>
          </w:p>
        </w:tc>
        <w:tc>
          <w:tcPr>
            <w:tcW w:w="2551" w:type="dxa"/>
            <w:vAlign w:val="center"/>
          </w:tcPr>
          <w:p>
            <w:pPr>
              <w:pStyle w:val="15"/>
            </w:pPr>
            <w:r>
              <w:t>切实提升</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代表满意度</w:t>
            </w:r>
          </w:p>
        </w:tc>
        <w:tc>
          <w:tcPr>
            <w:tcW w:w="2835" w:type="dxa"/>
            <w:vAlign w:val="center"/>
          </w:tcPr>
          <w:p>
            <w:pPr>
              <w:pStyle w:val="15"/>
            </w:pPr>
            <w:r>
              <w:t>人大代表满意度</w:t>
            </w:r>
          </w:p>
        </w:tc>
        <w:tc>
          <w:tcPr>
            <w:tcW w:w="2551" w:type="dxa"/>
            <w:vAlign w:val="center"/>
          </w:tcPr>
          <w:p>
            <w:pPr>
              <w:pStyle w:val="15"/>
            </w:pPr>
            <w:r>
              <w:t>≥98%</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4、人大立法调研审查工作经费绩效目标表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1.强化学习培训考察，提高立法工作能力；突出重点领域立法，保障经济社会发展。</w:t>
            </w:r>
          </w:p>
          <w:p>
            <w:pPr>
              <w:pStyle w:val="15"/>
            </w:pPr>
            <w:r>
              <w:t>2.做好备案审查工作，保障法制统一，维护人民合法权益。</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培训调研次数</w:t>
            </w:r>
          </w:p>
        </w:tc>
        <w:tc>
          <w:tcPr>
            <w:tcW w:w="2835" w:type="dxa"/>
            <w:vAlign w:val="center"/>
          </w:tcPr>
          <w:p>
            <w:pPr>
              <w:pStyle w:val="15"/>
            </w:pPr>
            <w:r>
              <w:t>围绕立法工作开展培训调研</w:t>
            </w:r>
          </w:p>
        </w:tc>
        <w:tc>
          <w:tcPr>
            <w:tcW w:w="2551" w:type="dxa"/>
            <w:vAlign w:val="center"/>
          </w:tcPr>
          <w:p>
            <w:pPr>
              <w:pStyle w:val="15"/>
            </w:pPr>
            <w:r>
              <w:t>≥1次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立法数量</w:t>
            </w:r>
          </w:p>
        </w:tc>
        <w:tc>
          <w:tcPr>
            <w:tcW w:w="2835" w:type="dxa"/>
            <w:vAlign w:val="center"/>
          </w:tcPr>
          <w:p>
            <w:pPr>
              <w:pStyle w:val="15"/>
            </w:pPr>
            <w:r>
              <w:t>全年立法项目计划数</w:t>
            </w:r>
          </w:p>
        </w:tc>
        <w:tc>
          <w:tcPr>
            <w:tcW w:w="2551" w:type="dxa"/>
            <w:vAlign w:val="center"/>
          </w:tcPr>
          <w:p>
            <w:pPr>
              <w:pStyle w:val="15"/>
            </w:pPr>
            <w:r>
              <w:t>≥1部</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会议次数</w:t>
            </w:r>
          </w:p>
        </w:tc>
        <w:tc>
          <w:tcPr>
            <w:tcW w:w="2835" w:type="dxa"/>
            <w:vAlign w:val="center"/>
          </w:tcPr>
          <w:p>
            <w:pPr>
              <w:pStyle w:val="15"/>
            </w:pPr>
            <w:r>
              <w:t>组织召开立法工作会议次数</w:t>
            </w:r>
          </w:p>
        </w:tc>
        <w:tc>
          <w:tcPr>
            <w:tcW w:w="2551" w:type="dxa"/>
            <w:vAlign w:val="center"/>
          </w:tcPr>
          <w:p>
            <w:pPr>
              <w:pStyle w:val="15"/>
            </w:pPr>
            <w:r>
              <w:t>≥2次</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备案审查平台数</w:t>
            </w:r>
          </w:p>
        </w:tc>
        <w:tc>
          <w:tcPr>
            <w:tcW w:w="2835" w:type="dxa"/>
            <w:vAlign w:val="center"/>
          </w:tcPr>
          <w:p>
            <w:pPr>
              <w:pStyle w:val="15"/>
            </w:pPr>
            <w:r>
              <w:t>需维护备案审查信息平台数</w:t>
            </w:r>
          </w:p>
        </w:tc>
        <w:tc>
          <w:tcPr>
            <w:tcW w:w="2551" w:type="dxa"/>
            <w:vAlign w:val="center"/>
          </w:tcPr>
          <w:p>
            <w:pPr>
              <w:pStyle w:val="15"/>
            </w:pPr>
            <w:r>
              <w:t xml:space="preserve">1个 </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资产采购数量</w:t>
            </w:r>
          </w:p>
        </w:tc>
        <w:tc>
          <w:tcPr>
            <w:tcW w:w="2835" w:type="dxa"/>
            <w:vAlign w:val="center"/>
          </w:tcPr>
          <w:p>
            <w:pPr>
              <w:pStyle w:val="15"/>
            </w:pPr>
            <w:r>
              <w:t>采购家具、电脑、打印机等资产数量</w:t>
            </w:r>
          </w:p>
        </w:tc>
        <w:tc>
          <w:tcPr>
            <w:tcW w:w="2551" w:type="dxa"/>
            <w:vAlign w:val="center"/>
          </w:tcPr>
          <w:p>
            <w:pPr>
              <w:pStyle w:val="15"/>
            </w:pPr>
            <w:r>
              <w:t>≤12件、台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培训调研出勤率</w:t>
            </w:r>
          </w:p>
        </w:tc>
        <w:tc>
          <w:tcPr>
            <w:tcW w:w="2835" w:type="dxa"/>
            <w:vAlign w:val="center"/>
          </w:tcPr>
          <w:p>
            <w:pPr>
              <w:pStyle w:val="15"/>
            </w:pPr>
            <w:r>
              <w:t>立法培训调研出勤率</w:t>
            </w:r>
          </w:p>
        </w:tc>
        <w:tc>
          <w:tcPr>
            <w:tcW w:w="2551" w:type="dxa"/>
            <w:vAlign w:val="center"/>
          </w:tcPr>
          <w:p>
            <w:pPr>
              <w:pStyle w:val="15"/>
            </w:pPr>
            <w:r>
              <w:t>≥90%</w:t>
            </w:r>
          </w:p>
        </w:tc>
        <w:tc>
          <w:tcPr>
            <w:tcW w:w="2268" w:type="dxa"/>
            <w:vAlign w:val="center"/>
          </w:tcPr>
          <w:p>
            <w:pPr>
              <w:pStyle w:val="15"/>
            </w:pPr>
            <w:r>
              <w:t>参照往年情况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立法完成率</w:t>
            </w:r>
          </w:p>
        </w:tc>
        <w:tc>
          <w:tcPr>
            <w:tcW w:w="2835" w:type="dxa"/>
            <w:vAlign w:val="center"/>
          </w:tcPr>
          <w:p>
            <w:pPr>
              <w:pStyle w:val="15"/>
            </w:pPr>
            <w:r>
              <w:t>制定地方性法规完成情况</w:t>
            </w:r>
          </w:p>
        </w:tc>
        <w:tc>
          <w:tcPr>
            <w:tcW w:w="2551" w:type="dxa"/>
            <w:vAlign w:val="center"/>
          </w:tcPr>
          <w:p>
            <w:pPr>
              <w:pStyle w:val="15"/>
            </w:pPr>
            <w:r>
              <w:t>100%</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会议参会率</w:t>
            </w:r>
          </w:p>
        </w:tc>
        <w:tc>
          <w:tcPr>
            <w:tcW w:w="2835" w:type="dxa"/>
            <w:vAlign w:val="center"/>
          </w:tcPr>
          <w:p>
            <w:pPr>
              <w:pStyle w:val="15"/>
            </w:pPr>
            <w:r>
              <w:t>参加立法会议人员出勤率</w:t>
            </w:r>
          </w:p>
        </w:tc>
        <w:tc>
          <w:tcPr>
            <w:tcW w:w="2551" w:type="dxa"/>
            <w:vAlign w:val="center"/>
          </w:tcPr>
          <w:p>
            <w:pPr>
              <w:pStyle w:val="15"/>
            </w:pPr>
            <w:r>
              <w:t>≥95%</w:t>
            </w:r>
          </w:p>
        </w:tc>
        <w:tc>
          <w:tcPr>
            <w:tcW w:w="2268" w:type="dxa"/>
            <w:vAlign w:val="center"/>
          </w:tcPr>
          <w:p>
            <w:pPr>
              <w:pStyle w:val="15"/>
            </w:pPr>
            <w:r>
              <w:t>参照往年情况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平台故障率</w:t>
            </w:r>
          </w:p>
        </w:tc>
        <w:tc>
          <w:tcPr>
            <w:tcW w:w="2835" w:type="dxa"/>
            <w:vAlign w:val="center"/>
          </w:tcPr>
          <w:p>
            <w:pPr>
              <w:pStyle w:val="15"/>
            </w:pPr>
            <w:r>
              <w:t>备案审查信息平台故障率</w:t>
            </w:r>
          </w:p>
        </w:tc>
        <w:tc>
          <w:tcPr>
            <w:tcW w:w="2551" w:type="dxa"/>
            <w:vAlign w:val="center"/>
          </w:tcPr>
          <w:p>
            <w:pPr>
              <w:pStyle w:val="15"/>
            </w:pPr>
            <w:r>
              <w:t>≤5%</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立法完成及时率</w:t>
            </w:r>
          </w:p>
        </w:tc>
        <w:tc>
          <w:tcPr>
            <w:tcW w:w="2835" w:type="dxa"/>
            <w:vAlign w:val="center"/>
          </w:tcPr>
          <w:p>
            <w:pPr>
              <w:pStyle w:val="15"/>
            </w:pPr>
            <w:r>
              <w:t>12月底前完成立法计划</w:t>
            </w:r>
          </w:p>
        </w:tc>
        <w:tc>
          <w:tcPr>
            <w:tcW w:w="2551" w:type="dxa"/>
            <w:vAlign w:val="center"/>
          </w:tcPr>
          <w:p>
            <w:pPr>
              <w:pStyle w:val="15"/>
            </w:pPr>
            <w:r>
              <w:t>100%</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 xml:space="preserve">备案审查及时率 </w:t>
            </w:r>
          </w:p>
        </w:tc>
        <w:tc>
          <w:tcPr>
            <w:tcW w:w="2835" w:type="dxa"/>
            <w:vAlign w:val="center"/>
          </w:tcPr>
          <w:p>
            <w:pPr>
              <w:pStyle w:val="15"/>
            </w:pPr>
            <w:r>
              <w:t>备案审查工作完成及时率</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培训成本</w:t>
            </w:r>
          </w:p>
        </w:tc>
        <w:tc>
          <w:tcPr>
            <w:tcW w:w="2835" w:type="dxa"/>
            <w:vAlign w:val="center"/>
          </w:tcPr>
          <w:p>
            <w:pPr>
              <w:pStyle w:val="15"/>
            </w:pPr>
            <w:r>
              <w:t>围绕立法项目赴先进省、市培训费用</w:t>
            </w:r>
          </w:p>
        </w:tc>
        <w:tc>
          <w:tcPr>
            <w:tcW w:w="2551" w:type="dxa"/>
            <w:vAlign w:val="center"/>
          </w:tcPr>
          <w:p>
            <w:pPr>
              <w:pStyle w:val="15"/>
            </w:pPr>
            <w:r>
              <w:t>≤15万元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开展立法调研、起草、咨询、论证、评估等</w:t>
            </w:r>
          </w:p>
        </w:tc>
        <w:tc>
          <w:tcPr>
            <w:tcW w:w="2551" w:type="dxa"/>
            <w:vAlign w:val="center"/>
          </w:tcPr>
          <w:p>
            <w:pPr>
              <w:pStyle w:val="15"/>
            </w:pPr>
            <w:r>
              <w:t>≤8万元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印制法规宣传材料等</w:t>
            </w:r>
          </w:p>
        </w:tc>
        <w:tc>
          <w:tcPr>
            <w:tcW w:w="2551" w:type="dxa"/>
            <w:vAlign w:val="center"/>
          </w:tcPr>
          <w:p>
            <w:pPr>
              <w:pStyle w:val="15"/>
            </w:pPr>
            <w:r>
              <w:t>≤10.42万元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购置图书、办公用品</w:t>
            </w:r>
          </w:p>
        </w:tc>
        <w:tc>
          <w:tcPr>
            <w:tcW w:w="2551" w:type="dxa"/>
            <w:vAlign w:val="center"/>
          </w:tcPr>
          <w:p>
            <w:pPr>
              <w:pStyle w:val="15"/>
            </w:pPr>
            <w:r>
              <w:t>≤9.48万元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开展备案审查成本</w:t>
            </w:r>
          </w:p>
        </w:tc>
        <w:tc>
          <w:tcPr>
            <w:tcW w:w="2835" w:type="dxa"/>
            <w:vAlign w:val="center"/>
          </w:tcPr>
          <w:p>
            <w:pPr>
              <w:pStyle w:val="15"/>
            </w:pPr>
            <w:r>
              <w:t>开展规范性文件审查、咨询、调研、论证、评估等</w:t>
            </w:r>
          </w:p>
        </w:tc>
        <w:tc>
          <w:tcPr>
            <w:tcW w:w="2551" w:type="dxa"/>
            <w:vAlign w:val="center"/>
          </w:tcPr>
          <w:p>
            <w:pPr>
              <w:pStyle w:val="15"/>
            </w:pPr>
            <w:r>
              <w:t>≤4.4万元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开展备案审查成本</w:t>
            </w:r>
          </w:p>
        </w:tc>
        <w:tc>
          <w:tcPr>
            <w:tcW w:w="2835" w:type="dxa"/>
            <w:vAlign w:val="center"/>
          </w:tcPr>
          <w:p>
            <w:pPr>
              <w:pStyle w:val="15"/>
            </w:pPr>
            <w:r>
              <w:t>规范性文件备案审查信息平台维护费</w:t>
            </w:r>
          </w:p>
        </w:tc>
        <w:tc>
          <w:tcPr>
            <w:tcW w:w="2551" w:type="dxa"/>
            <w:vAlign w:val="center"/>
          </w:tcPr>
          <w:p>
            <w:pPr>
              <w:pStyle w:val="15"/>
            </w:pPr>
            <w:r>
              <w:t>≤5.6万元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召开会议费用</w:t>
            </w:r>
          </w:p>
        </w:tc>
        <w:tc>
          <w:tcPr>
            <w:tcW w:w="2551" w:type="dxa"/>
            <w:vAlign w:val="center"/>
          </w:tcPr>
          <w:p>
            <w:pPr>
              <w:pStyle w:val="15"/>
            </w:pPr>
            <w:r>
              <w:t>≤5万元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购置固定资产成本</w:t>
            </w:r>
          </w:p>
        </w:tc>
        <w:tc>
          <w:tcPr>
            <w:tcW w:w="2835" w:type="dxa"/>
            <w:vAlign w:val="center"/>
          </w:tcPr>
          <w:p>
            <w:pPr>
              <w:pStyle w:val="15"/>
            </w:pPr>
            <w:r>
              <w:t>购置固定资产费用</w:t>
            </w:r>
          </w:p>
        </w:tc>
        <w:tc>
          <w:tcPr>
            <w:tcW w:w="2551" w:type="dxa"/>
            <w:vAlign w:val="center"/>
          </w:tcPr>
          <w:p>
            <w:pPr>
              <w:pStyle w:val="15"/>
            </w:pPr>
            <w:r>
              <w:t>≤5万元</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网站维护成本</w:t>
            </w:r>
          </w:p>
        </w:tc>
        <w:tc>
          <w:tcPr>
            <w:tcW w:w="2835" w:type="dxa"/>
            <w:vAlign w:val="center"/>
          </w:tcPr>
          <w:p>
            <w:pPr>
              <w:pStyle w:val="15"/>
            </w:pPr>
            <w:r>
              <w:t>人大网站维护费用</w:t>
            </w:r>
          </w:p>
        </w:tc>
        <w:tc>
          <w:tcPr>
            <w:tcW w:w="2551" w:type="dxa"/>
            <w:vAlign w:val="center"/>
          </w:tcPr>
          <w:p>
            <w:pPr>
              <w:pStyle w:val="15"/>
            </w:pPr>
            <w:r>
              <w:t>≤10万元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立法质量提升</w:t>
            </w:r>
          </w:p>
        </w:tc>
        <w:tc>
          <w:tcPr>
            <w:tcW w:w="2835" w:type="dxa"/>
            <w:vAlign w:val="center"/>
          </w:tcPr>
          <w:p>
            <w:pPr>
              <w:pStyle w:val="15"/>
            </w:pPr>
            <w:r>
              <w:t>为全市改革发展稳定提供法治保障，营造良好法治环境</w:t>
            </w:r>
          </w:p>
        </w:tc>
        <w:tc>
          <w:tcPr>
            <w:tcW w:w="2551" w:type="dxa"/>
            <w:vAlign w:val="center"/>
          </w:tcPr>
          <w:p>
            <w:pPr>
              <w:pStyle w:val="15"/>
            </w:pPr>
            <w:r>
              <w:t>较上一年有进步</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2835" w:type="dxa"/>
            <w:vAlign w:val="center"/>
          </w:tcPr>
          <w:p>
            <w:pPr>
              <w:pStyle w:val="15"/>
            </w:pPr>
            <w:r>
              <w:t>社会公众对立法工作满意度</w:t>
            </w:r>
          </w:p>
        </w:tc>
        <w:tc>
          <w:tcPr>
            <w:tcW w:w="2551" w:type="dxa"/>
            <w:vAlign w:val="center"/>
          </w:tcPr>
          <w:p>
            <w:pPr>
              <w:pStyle w:val="15"/>
            </w:pPr>
            <w:r>
              <w:t>≥90%</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5、市人大常委会会议经费绩效目标表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1.提供会议服务，保障会议正常进行。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会议次数</w:t>
            </w:r>
          </w:p>
        </w:tc>
        <w:tc>
          <w:tcPr>
            <w:tcW w:w="2835" w:type="dxa"/>
            <w:vAlign w:val="center"/>
          </w:tcPr>
          <w:p>
            <w:pPr>
              <w:pStyle w:val="15"/>
            </w:pPr>
            <w:r>
              <w:t>召开常委会会议次数</w:t>
            </w:r>
          </w:p>
        </w:tc>
        <w:tc>
          <w:tcPr>
            <w:tcW w:w="2551" w:type="dxa"/>
            <w:vAlign w:val="center"/>
          </w:tcPr>
          <w:p>
            <w:pPr>
              <w:pStyle w:val="15"/>
            </w:pPr>
            <w:r>
              <w:t>≥6次</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参会人数</w:t>
            </w:r>
          </w:p>
        </w:tc>
        <w:tc>
          <w:tcPr>
            <w:tcW w:w="2835" w:type="dxa"/>
            <w:vAlign w:val="center"/>
          </w:tcPr>
          <w:p>
            <w:pPr>
              <w:pStyle w:val="15"/>
            </w:pPr>
            <w:r>
              <w:t>每次参加常委会人数</w:t>
            </w:r>
          </w:p>
        </w:tc>
        <w:tc>
          <w:tcPr>
            <w:tcW w:w="2551" w:type="dxa"/>
            <w:vAlign w:val="center"/>
          </w:tcPr>
          <w:p>
            <w:pPr>
              <w:pStyle w:val="15"/>
            </w:pPr>
            <w:r>
              <w:t>≥37人</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会议出勤率</w:t>
            </w:r>
          </w:p>
        </w:tc>
        <w:tc>
          <w:tcPr>
            <w:tcW w:w="2835" w:type="dxa"/>
            <w:vAlign w:val="center"/>
          </w:tcPr>
          <w:p>
            <w:pPr>
              <w:pStyle w:val="15"/>
            </w:pPr>
            <w:r>
              <w:t>参会人员出勤率</w:t>
            </w:r>
          </w:p>
        </w:tc>
        <w:tc>
          <w:tcPr>
            <w:tcW w:w="2551" w:type="dxa"/>
            <w:vAlign w:val="center"/>
          </w:tcPr>
          <w:p>
            <w:pPr>
              <w:pStyle w:val="15"/>
            </w:pPr>
            <w:r>
              <w:t>≥95%</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会议议程完成率</w:t>
            </w:r>
          </w:p>
        </w:tc>
        <w:tc>
          <w:tcPr>
            <w:tcW w:w="2835" w:type="dxa"/>
            <w:vAlign w:val="center"/>
          </w:tcPr>
          <w:p>
            <w:pPr>
              <w:pStyle w:val="15"/>
            </w:pPr>
            <w:r>
              <w:t>完成各项会议议程</w:t>
            </w:r>
          </w:p>
        </w:tc>
        <w:tc>
          <w:tcPr>
            <w:tcW w:w="2551" w:type="dxa"/>
            <w:vAlign w:val="center"/>
          </w:tcPr>
          <w:p>
            <w:pPr>
              <w:pStyle w:val="15"/>
            </w:pPr>
            <w:r>
              <w:t>100%</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至少每2月召开一次常委会会议</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会议（含电视电话会）成本</w:t>
            </w:r>
          </w:p>
        </w:tc>
        <w:tc>
          <w:tcPr>
            <w:tcW w:w="2551" w:type="dxa"/>
            <w:vAlign w:val="center"/>
          </w:tcPr>
          <w:p>
            <w:pPr>
              <w:pStyle w:val="15"/>
            </w:pPr>
            <w:r>
              <w:t>≤6.64万元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会议文件印刷成本</w:t>
            </w:r>
          </w:p>
        </w:tc>
        <w:tc>
          <w:tcPr>
            <w:tcW w:w="2551" w:type="dxa"/>
            <w:vAlign w:val="center"/>
          </w:tcPr>
          <w:p>
            <w:pPr>
              <w:pStyle w:val="15"/>
            </w:pPr>
            <w:r>
              <w:t>≤3.57万元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保障会议正常进行</w:t>
            </w:r>
          </w:p>
        </w:tc>
        <w:tc>
          <w:tcPr>
            <w:tcW w:w="2835" w:type="dxa"/>
            <w:vAlign w:val="center"/>
          </w:tcPr>
          <w:p>
            <w:pPr>
              <w:pStyle w:val="15"/>
            </w:pPr>
            <w:r>
              <w:t>通过会议服务工作，保障会议正常进行</w:t>
            </w:r>
          </w:p>
        </w:tc>
        <w:tc>
          <w:tcPr>
            <w:tcW w:w="2551" w:type="dxa"/>
            <w:vAlign w:val="center"/>
          </w:tcPr>
          <w:p>
            <w:pPr>
              <w:pStyle w:val="15"/>
            </w:pPr>
            <w:r>
              <w:t>切实保障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参会人员满意度</w:t>
            </w:r>
          </w:p>
        </w:tc>
        <w:tc>
          <w:tcPr>
            <w:tcW w:w="2835" w:type="dxa"/>
            <w:vAlign w:val="center"/>
          </w:tcPr>
          <w:p>
            <w:pPr>
              <w:pStyle w:val="15"/>
            </w:pPr>
            <w:r>
              <w:t>参会人员对会议满意度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6、选举、任免工作经费绩效目标表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1.为补选国家机关领导人员和部分代表及选举任免“一府一委两院”有关人员提供会议服务，保障会议进行。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召开会议次数</w:t>
            </w:r>
          </w:p>
        </w:tc>
        <w:tc>
          <w:tcPr>
            <w:tcW w:w="2835" w:type="dxa"/>
            <w:vAlign w:val="center"/>
          </w:tcPr>
          <w:p>
            <w:pPr>
              <w:pStyle w:val="15"/>
            </w:pPr>
            <w:r>
              <w:t>召开人大常委会会议</w:t>
            </w:r>
          </w:p>
        </w:tc>
        <w:tc>
          <w:tcPr>
            <w:tcW w:w="2551" w:type="dxa"/>
            <w:vAlign w:val="center"/>
          </w:tcPr>
          <w:p>
            <w:pPr>
              <w:pStyle w:val="15"/>
            </w:pPr>
            <w:r>
              <w:t>≥6次</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印刷品数量</w:t>
            </w:r>
          </w:p>
        </w:tc>
        <w:tc>
          <w:tcPr>
            <w:tcW w:w="2835" w:type="dxa"/>
            <w:vAlign w:val="center"/>
          </w:tcPr>
          <w:p>
            <w:pPr>
              <w:pStyle w:val="15"/>
            </w:pPr>
            <w:r>
              <w:t>每次会议印刷品数量</w:t>
            </w:r>
          </w:p>
        </w:tc>
        <w:tc>
          <w:tcPr>
            <w:tcW w:w="2551" w:type="dxa"/>
            <w:vAlign w:val="center"/>
          </w:tcPr>
          <w:p>
            <w:pPr>
              <w:pStyle w:val="15"/>
            </w:pPr>
            <w:r>
              <w:t>≥30份</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采购资产数量</w:t>
            </w:r>
          </w:p>
        </w:tc>
        <w:tc>
          <w:tcPr>
            <w:tcW w:w="2835" w:type="dxa"/>
            <w:vAlign w:val="center"/>
          </w:tcPr>
          <w:p>
            <w:pPr>
              <w:pStyle w:val="15"/>
            </w:pPr>
            <w:r>
              <w:t>采购电脑、打印机、扫描仪等资产数量</w:t>
            </w:r>
          </w:p>
        </w:tc>
        <w:tc>
          <w:tcPr>
            <w:tcW w:w="2551" w:type="dxa"/>
            <w:vAlign w:val="center"/>
          </w:tcPr>
          <w:p>
            <w:pPr>
              <w:pStyle w:val="15"/>
            </w:pPr>
            <w:r>
              <w:t>≤2台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选任完成率</w:t>
            </w:r>
          </w:p>
        </w:tc>
        <w:tc>
          <w:tcPr>
            <w:tcW w:w="2835" w:type="dxa"/>
            <w:vAlign w:val="center"/>
          </w:tcPr>
          <w:p>
            <w:pPr>
              <w:pStyle w:val="15"/>
            </w:pPr>
            <w:r>
              <w:t>选任任务完成率</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印刷品合格率</w:t>
            </w:r>
          </w:p>
        </w:tc>
        <w:tc>
          <w:tcPr>
            <w:tcW w:w="2835" w:type="dxa"/>
            <w:vAlign w:val="center"/>
          </w:tcPr>
          <w:p>
            <w:pPr>
              <w:pStyle w:val="15"/>
            </w:pPr>
            <w:r>
              <w:t>印刷品质量合格率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至少每两个月一次常委会会议</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固定资产采购成本</w:t>
            </w:r>
          </w:p>
        </w:tc>
        <w:tc>
          <w:tcPr>
            <w:tcW w:w="2835" w:type="dxa"/>
            <w:vAlign w:val="center"/>
          </w:tcPr>
          <w:p>
            <w:pPr>
              <w:pStyle w:val="15"/>
            </w:pPr>
            <w:r>
              <w:t>选举、任免期间购置固定资产费用</w:t>
            </w:r>
          </w:p>
        </w:tc>
        <w:tc>
          <w:tcPr>
            <w:tcW w:w="2551" w:type="dxa"/>
            <w:vAlign w:val="center"/>
          </w:tcPr>
          <w:p>
            <w:pPr>
              <w:pStyle w:val="15"/>
            </w:pPr>
            <w:r>
              <w:t>≤1万元</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采购办公用品成本</w:t>
            </w:r>
          </w:p>
        </w:tc>
        <w:tc>
          <w:tcPr>
            <w:tcW w:w="2835" w:type="dxa"/>
            <w:vAlign w:val="center"/>
          </w:tcPr>
          <w:p>
            <w:pPr>
              <w:pStyle w:val="15"/>
            </w:pPr>
            <w:r>
              <w:t>选举、任免期间采购办公用品费用</w:t>
            </w:r>
          </w:p>
        </w:tc>
        <w:tc>
          <w:tcPr>
            <w:tcW w:w="2551" w:type="dxa"/>
            <w:vAlign w:val="center"/>
          </w:tcPr>
          <w:p>
            <w:pPr>
              <w:pStyle w:val="15"/>
            </w:pPr>
            <w:r>
              <w:t>≤5.38万元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印刷成本</w:t>
            </w:r>
          </w:p>
        </w:tc>
        <w:tc>
          <w:tcPr>
            <w:tcW w:w="2835" w:type="dxa"/>
            <w:vAlign w:val="center"/>
          </w:tcPr>
          <w:p>
            <w:pPr>
              <w:pStyle w:val="15"/>
            </w:pPr>
            <w:r>
              <w:t>选举、任免期间印刷费用</w:t>
            </w:r>
          </w:p>
        </w:tc>
        <w:tc>
          <w:tcPr>
            <w:tcW w:w="2551" w:type="dxa"/>
            <w:vAlign w:val="center"/>
          </w:tcPr>
          <w:p>
            <w:pPr>
              <w:pStyle w:val="15"/>
            </w:pPr>
            <w:r>
              <w:t>≤8.2万元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完成选任任务</w:t>
            </w:r>
          </w:p>
        </w:tc>
        <w:tc>
          <w:tcPr>
            <w:tcW w:w="2835" w:type="dxa"/>
            <w:vAlign w:val="center"/>
          </w:tcPr>
          <w:p>
            <w:pPr>
              <w:pStyle w:val="15"/>
            </w:pPr>
            <w:r>
              <w:t>贯彻党委意图，完成补选、选任工作，保障国家机关运行</w:t>
            </w:r>
          </w:p>
        </w:tc>
        <w:tc>
          <w:tcPr>
            <w:tcW w:w="2551" w:type="dxa"/>
            <w:vAlign w:val="center"/>
          </w:tcPr>
          <w:p>
            <w:pPr>
              <w:pStyle w:val="15"/>
            </w:pPr>
            <w:r>
              <w:t>圆满完成选任工作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参会人员满意率</w:t>
            </w:r>
          </w:p>
        </w:tc>
        <w:tc>
          <w:tcPr>
            <w:tcW w:w="2835" w:type="dxa"/>
            <w:vAlign w:val="center"/>
          </w:tcPr>
          <w:p>
            <w:pPr>
              <w:pStyle w:val="15"/>
            </w:pPr>
            <w:r>
              <w:t>参会人员对选任工作的满意度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7、预算联网监督系统运维和应用项目资金绩效目标表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1.通过对系统的日常维护，保证预算联网监督系统稳定运行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运行维护系统个数</w:t>
            </w:r>
          </w:p>
        </w:tc>
        <w:tc>
          <w:tcPr>
            <w:tcW w:w="2835" w:type="dxa"/>
            <w:vAlign w:val="center"/>
          </w:tcPr>
          <w:p>
            <w:pPr>
              <w:pStyle w:val="15"/>
            </w:pPr>
            <w:r>
              <w:t>需运行维护系统个数</w:t>
            </w:r>
          </w:p>
        </w:tc>
        <w:tc>
          <w:tcPr>
            <w:tcW w:w="2551" w:type="dxa"/>
            <w:vAlign w:val="center"/>
          </w:tcPr>
          <w:p>
            <w:pPr>
              <w:pStyle w:val="15"/>
            </w:pPr>
            <w:r>
              <w:t>1个</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系统正常运行率</w:t>
            </w:r>
          </w:p>
        </w:tc>
        <w:tc>
          <w:tcPr>
            <w:tcW w:w="2835" w:type="dxa"/>
            <w:vAlign w:val="center"/>
          </w:tcPr>
          <w:p>
            <w:pPr>
              <w:pStyle w:val="15"/>
            </w:pPr>
            <w:r>
              <w:t>系统稳定运行占总运行时间的比率</w:t>
            </w:r>
          </w:p>
        </w:tc>
        <w:tc>
          <w:tcPr>
            <w:tcW w:w="2551" w:type="dxa"/>
            <w:vAlign w:val="center"/>
          </w:tcPr>
          <w:p>
            <w:pPr>
              <w:pStyle w:val="15"/>
            </w:pPr>
            <w:r>
              <w:t>≥98%</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故障响应时间</w:t>
            </w:r>
          </w:p>
        </w:tc>
        <w:tc>
          <w:tcPr>
            <w:tcW w:w="2835" w:type="dxa"/>
            <w:vAlign w:val="center"/>
          </w:tcPr>
          <w:p>
            <w:pPr>
              <w:pStyle w:val="15"/>
            </w:pPr>
            <w:r>
              <w:t>系统发生故障后响应时间</w:t>
            </w:r>
          </w:p>
        </w:tc>
        <w:tc>
          <w:tcPr>
            <w:tcW w:w="2551" w:type="dxa"/>
            <w:vAlign w:val="center"/>
          </w:tcPr>
          <w:p>
            <w:pPr>
              <w:pStyle w:val="15"/>
            </w:pPr>
            <w:r>
              <w:t>≤24小时</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系统运行维护成本</w:t>
            </w:r>
          </w:p>
        </w:tc>
        <w:tc>
          <w:tcPr>
            <w:tcW w:w="2835" w:type="dxa"/>
            <w:vAlign w:val="center"/>
          </w:tcPr>
          <w:p>
            <w:pPr>
              <w:pStyle w:val="15"/>
            </w:pPr>
            <w:r>
              <w:t>用于系统环境运维、软件维护、配置管理、数据源修改、备份和恢复、数据维护、日常使用等</w:t>
            </w:r>
          </w:p>
        </w:tc>
        <w:tc>
          <w:tcPr>
            <w:tcW w:w="2551" w:type="dxa"/>
            <w:vAlign w:val="center"/>
          </w:tcPr>
          <w:p>
            <w:pPr>
              <w:pStyle w:val="15"/>
            </w:pPr>
            <w:r>
              <w:t>≤10万元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加强预算决算审查</w:t>
            </w:r>
          </w:p>
        </w:tc>
        <w:tc>
          <w:tcPr>
            <w:tcW w:w="2835" w:type="dxa"/>
            <w:vAlign w:val="center"/>
          </w:tcPr>
          <w:p>
            <w:pPr>
              <w:pStyle w:val="15"/>
            </w:pPr>
            <w:r>
              <w:t>运用联网监督系统,加强对年度预算决算的审查监督</w:t>
            </w:r>
          </w:p>
        </w:tc>
        <w:tc>
          <w:tcPr>
            <w:tcW w:w="2551" w:type="dxa"/>
            <w:vAlign w:val="center"/>
          </w:tcPr>
          <w:p>
            <w:pPr>
              <w:pStyle w:val="15"/>
            </w:pPr>
            <w:r>
              <w:t>提升预算监督审查质效</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2835" w:type="dxa"/>
            <w:vAlign w:val="center"/>
          </w:tcPr>
          <w:p>
            <w:pPr>
              <w:pStyle w:val="15"/>
            </w:pPr>
            <w:r>
              <w:t>使用人员对系统使用满意度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8、张家口市十五届人民代表大会第二次会议经费绩效目标表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1.提供会议服务，保障会议正常进行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会议天数</w:t>
            </w:r>
          </w:p>
        </w:tc>
        <w:tc>
          <w:tcPr>
            <w:tcW w:w="2835" w:type="dxa"/>
            <w:vAlign w:val="center"/>
          </w:tcPr>
          <w:p>
            <w:pPr>
              <w:pStyle w:val="15"/>
            </w:pPr>
            <w:r>
              <w:t>召开会议天数</w:t>
            </w:r>
          </w:p>
        </w:tc>
        <w:tc>
          <w:tcPr>
            <w:tcW w:w="2551" w:type="dxa"/>
            <w:vAlign w:val="center"/>
          </w:tcPr>
          <w:p>
            <w:pPr>
              <w:pStyle w:val="15"/>
            </w:pPr>
            <w:r>
              <w:t>≥5天</w:t>
            </w:r>
          </w:p>
        </w:tc>
        <w:tc>
          <w:tcPr>
            <w:tcW w:w="2268" w:type="dxa"/>
            <w:vAlign w:val="center"/>
          </w:tcPr>
          <w:p>
            <w:pPr>
              <w:pStyle w:val="15"/>
            </w:pPr>
            <w:r>
              <w:t>常委会会议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参会人数</w:t>
            </w:r>
          </w:p>
        </w:tc>
        <w:tc>
          <w:tcPr>
            <w:tcW w:w="2835" w:type="dxa"/>
            <w:vAlign w:val="center"/>
          </w:tcPr>
          <w:p>
            <w:pPr>
              <w:pStyle w:val="15"/>
            </w:pPr>
            <w:r>
              <w:t>参加人代会人数（含会议保障）</w:t>
            </w:r>
          </w:p>
        </w:tc>
        <w:tc>
          <w:tcPr>
            <w:tcW w:w="2551" w:type="dxa"/>
            <w:vAlign w:val="center"/>
          </w:tcPr>
          <w:p>
            <w:pPr>
              <w:pStyle w:val="15"/>
            </w:pPr>
            <w:r>
              <w:t>≥1500人次</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会议出勤率</w:t>
            </w:r>
          </w:p>
        </w:tc>
        <w:tc>
          <w:tcPr>
            <w:tcW w:w="2835" w:type="dxa"/>
            <w:vAlign w:val="center"/>
          </w:tcPr>
          <w:p>
            <w:pPr>
              <w:pStyle w:val="15"/>
            </w:pPr>
            <w:r>
              <w:t>参会人员会议出勤率</w:t>
            </w:r>
          </w:p>
        </w:tc>
        <w:tc>
          <w:tcPr>
            <w:tcW w:w="2551" w:type="dxa"/>
            <w:vAlign w:val="center"/>
          </w:tcPr>
          <w:p>
            <w:pPr>
              <w:pStyle w:val="15"/>
            </w:pPr>
            <w:r>
              <w:t>≥95%</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会议议程完成率</w:t>
            </w:r>
          </w:p>
        </w:tc>
        <w:tc>
          <w:tcPr>
            <w:tcW w:w="2835" w:type="dxa"/>
            <w:vAlign w:val="center"/>
          </w:tcPr>
          <w:p>
            <w:pPr>
              <w:pStyle w:val="15"/>
            </w:pPr>
            <w:r>
              <w:t>完成各项会议议程</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1月召开人代会</w:t>
            </w:r>
          </w:p>
        </w:tc>
        <w:tc>
          <w:tcPr>
            <w:tcW w:w="2551" w:type="dxa"/>
            <w:vAlign w:val="center"/>
          </w:tcPr>
          <w:p>
            <w:pPr>
              <w:pStyle w:val="15"/>
            </w:pPr>
            <w:r>
              <w:t>100%</w:t>
            </w:r>
          </w:p>
        </w:tc>
        <w:tc>
          <w:tcPr>
            <w:tcW w:w="2268" w:type="dxa"/>
            <w:vAlign w:val="center"/>
          </w:tcPr>
          <w:p>
            <w:pPr>
              <w:pStyle w:val="15"/>
            </w:pPr>
            <w:r>
              <w:t>常委会会议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会议（含食宿、占场及购买办公用品、防疫、酒店补偿等）成本</w:t>
            </w:r>
          </w:p>
        </w:tc>
        <w:tc>
          <w:tcPr>
            <w:tcW w:w="2551" w:type="dxa"/>
            <w:vAlign w:val="center"/>
          </w:tcPr>
          <w:p>
            <w:pPr>
              <w:pStyle w:val="15"/>
            </w:pPr>
            <w:r>
              <w:t>≤204.12万元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保障会议正常进行</w:t>
            </w:r>
          </w:p>
        </w:tc>
        <w:tc>
          <w:tcPr>
            <w:tcW w:w="2835" w:type="dxa"/>
            <w:vAlign w:val="center"/>
          </w:tcPr>
          <w:p>
            <w:pPr>
              <w:pStyle w:val="15"/>
            </w:pPr>
            <w:r>
              <w:t>通过会议服务工作，保障会议正常进行</w:t>
            </w:r>
          </w:p>
        </w:tc>
        <w:tc>
          <w:tcPr>
            <w:tcW w:w="2551" w:type="dxa"/>
            <w:vAlign w:val="center"/>
          </w:tcPr>
          <w:p>
            <w:pPr>
              <w:pStyle w:val="15"/>
            </w:pPr>
            <w:r>
              <w:t>切实保障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参会人员满意度</w:t>
            </w:r>
          </w:p>
        </w:tc>
        <w:tc>
          <w:tcPr>
            <w:tcW w:w="2835" w:type="dxa"/>
            <w:vAlign w:val="center"/>
          </w:tcPr>
          <w:p>
            <w:pPr>
              <w:pStyle w:val="15"/>
            </w:pPr>
            <w:r>
              <w:t>参会人员对会议满意度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spacing w:line="500" w:lineRule="exact"/>
        <w:ind w:firstLine="640"/>
        <w:outlineLvl w:val="5"/>
        <w:rPr>
          <w:sz w:val="28"/>
          <w:szCs w:val="28"/>
        </w:rPr>
      </w:pPr>
      <w:r>
        <w:rPr>
          <w:rFonts w:ascii="黑体" w:hAnsi="黑体" w:eastAsia="黑体" w:cs="黑体"/>
          <w:color w:val="000000"/>
          <w:sz w:val="28"/>
          <w:szCs w:val="28"/>
        </w:rPr>
        <w:t>六、政府采购预算情况</w:t>
      </w:r>
    </w:p>
    <w:p>
      <w:pPr>
        <w:spacing w:line="500" w:lineRule="exact"/>
        <w:ind w:firstLine="560"/>
        <w:rPr>
          <w:sz w:val="28"/>
          <w:szCs w:val="28"/>
        </w:rPr>
      </w:pPr>
      <w:r>
        <w:rPr>
          <w:rFonts w:eastAsia="方正仿宋_GBK"/>
          <w:color w:val="000000"/>
          <w:sz w:val="28"/>
          <w:szCs w:val="28"/>
        </w:rPr>
        <w:t>2022年，张家口市人民代表大会常务委员会办公室本级安排政府采购预算39.99万元。具体内容见下表。</w:t>
      </w:r>
    </w:p>
    <w:p>
      <w:pPr>
        <w:spacing w:line="500" w:lineRule="exact"/>
        <w:jc w:val="center"/>
        <w:rPr>
          <w:sz w:val="28"/>
          <w:szCs w:val="28"/>
        </w:rPr>
      </w:pPr>
      <w:r>
        <w:rPr>
          <w:rFonts w:ascii="方正小标宋_GBK" w:hAnsi="方正小标宋_GBK" w:eastAsia="方正小标宋_GBK" w:cs="方正小标宋_GBK"/>
          <w:color w:val="000000"/>
          <w:sz w:val="28"/>
          <w:szCs w:val="28"/>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39.99</w:t>
            </w:r>
          </w:p>
        </w:tc>
        <w:tc>
          <w:tcPr>
            <w:tcW w:w="964" w:type="dxa"/>
            <w:vAlign w:val="center"/>
          </w:tcPr>
          <w:p>
            <w:pPr>
              <w:pStyle w:val="18"/>
            </w:pPr>
            <w:r>
              <w:t>39.99</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张家口市人民代表大会常务委员会办公室本级小计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39.99</w:t>
            </w:r>
          </w:p>
        </w:tc>
        <w:tc>
          <w:tcPr>
            <w:tcW w:w="964" w:type="dxa"/>
            <w:vAlign w:val="center"/>
          </w:tcPr>
          <w:p>
            <w:pPr>
              <w:pStyle w:val="18"/>
            </w:pPr>
            <w:r>
              <w:t>39.99</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车辆维修和保养服务</w:t>
            </w:r>
          </w:p>
        </w:tc>
        <w:tc>
          <w:tcPr>
            <w:tcW w:w="1134" w:type="dxa"/>
            <w:vAlign w:val="center"/>
          </w:tcPr>
          <w:p>
            <w:pPr>
              <w:pStyle w:val="15"/>
            </w:pPr>
            <w:r>
              <w:t>C050301</w:t>
            </w:r>
          </w:p>
        </w:tc>
        <w:tc>
          <w:tcPr>
            <w:tcW w:w="709" w:type="dxa"/>
            <w:vAlign w:val="center"/>
          </w:tcPr>
          <w:p>
            <w:pPr>
              <w:pStyle w:val="16"/>
            </w:pPr>
            <w:r>
              <w:t>份</w:t>
            </w:r>
          </w:p>
        </w:tc>
        <w:tc>
          <w:tcPr>
            <w:tcW w:w="850" w:type="dxa"/>
            <w:vAlign w:val="center"/>
          </w:tcPr>
          <w:p>
            <w:pPr>
              <w:pStyle w:val="14"/>
            </w:pPr>
            <w:r>
              <w:t>10</w:t>
            </w:r>
          </w:p>
        </w:tc>
        <w:tc>
          <w:tcPr>
            <w:tcW w:w="850" w:type="dxa"/>
            <w:vAlign w:val="center"/>
          </w:tcPr>
          <w:p>
            <w:pPr>
              <w:pStyle w:val="14"/>
            </w:pPr>
            <w:r>
              <w:t>0.25</w:t>
            </w:r>
          </w:p>
        </w:tc>
        <w:tc>
          <w:tcPr>
            <w:tcW w:w="964" w:type="dxa"/>
            <w:vAlign w:val="center"/>
          </w:tcPr>
          <w:p>
            <w:pPr>
              <w:pStyle w:val="14"/>
            </w:pPr>
            <w:r>
              <w:t>2.50</w:t>
            </w:r>
          </w:p>
        </w:tc>
        <w:tc>
          <w:tcPr>
            <w:tcW w:w="964" w:type="dxa"/>
            <w:vAlign w:val="center"/>
          </w:tcPr>
          <w:p>
            <w:pPr>
              <w:pStyle w:val="14"/>
            </w:pPr>
            <w:r>
              <w:t>2.50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车辆加油服务</w:t>
            </w:r>
          </w:p>
        </w:tc>
        <w:tc>
          <w:tcPr>
            <w:tcW w:w="1134" w:type="dxa"/>
            <w:vAlign w:val="center"/>
          </w:tcPr>
          <w:p>
            <w:pPr>
              <w:pStyle w:val="15"/>
            </w:pPr>
            <w:r>
              <w:t>C050302</w:t>
            </w:r>
          </w:p>
        </w:tc>
        <w:tc>
          <w:tcPr>
            <w:tcW w:w="709" w:type="dxa"/>
            <w:vAlign w:val="center"/>
          </w:tcPr>
          <w:p>
            <w:pPr>
              <w:pStyle w:val="16"/>
            </w:pPr>
            <w:r>
              <w:t>千升</w:t>
            </w:r>
          </w:p>
        </w:tc>
        <w:tc>
          <w:tcPr>
            <w:tcW w:w="850" w:type="dxa"/>
            <w:vAlign w:val="center"/>
          </w:tcPr>
          <w:p>
            <w:pPr>
              <w:pStyle w:val="14"/>
            </w:pPr>
            <w:r>
              <w:t>23</w:t>
            </w:r>
          </w:p>
        </w:tc>
        <w:tc>
          <w:tcPr>
            <w:tcW w:w="850" w:type="dxa"/>
            <w:vAlign w:val="center"/>
          </w:tcPr>
          <w:p>
            <w:pPr>
              <w:pStyle w:val="14"/>
            </w:pPr>
            <w:r>
              <w:t>0.93</w:t>
            </w:r>
          </w:p>
        </w:tc>
        <w:tc>
          <w:tcPr>
            <w:tcW w:w="964" w:type="dxa"/>
            <w:vAlign w:val="center"/>
          </w:tcPr>
          <w:p>
            <w:pPr>
              <w:pStyle w:val="14"/>
            </w:pPr>
            <w:r>
              <w:t>21.39</w:t>
            </w:r>
          </w:p>
        </w:tc>
        <w:tc>
          <w:tcPr>
            <w:tcW w:w="964" w:type="dxa"/>
            <w:vAlign w:val="center"/>
          </w:tcPr>
          <w:p>
            <w:pPr>
              <w:pStyle w:val="14"/>
            </w:pPr>
            <w:r>
              <w:t>21.39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机动车保险服务</w:t>
            </w:r>
          </w:p>
        </w:tc>
        <w:tc>
          <w:tcPr>
            <w:tcW w:w="1134" w:type="dxa"/>
            <w:vAlign w:val="center"/>
          </w:tcPr>
          <w:p>
            <w:pPr>
              <w:pStyle w:val="15"/>
            </w:pPr>
            <w:r>
              <w:t>C15040201</w:t>
            </w:r>
          </w:p>
        </w:tc>
        <w:tc>
          <w:tcPr>
            <w:tcW w:w="709" w:type="dxa"/>
            <w:vAlign w:val="center"/>
          </w:tcPr>
          <w:p>
            <w:pPr>
              <w:pStyle w:val="16"/>
            </w:pPr>
            <w:r>
              <w:t>份</w:t>
            </w:r>
          </w:p>
        </w:tc>
        <w:tc>
          <w:tcPr>
            <w:tcW w:w="850" w:type="dxa"/>
            <w:vAlign w:val="center"/>
          </w:tcPr>
          <w:p>
            <w:pPr>
              <w:pStyle w:val="14"/>
            </w:pPr>
            <w:r>
              <w:t>10</w:t>
            </w:r>
          </w:p>
        </w:tc>
        <w:tc>
          <w:tcPr>
            <w:tcW w:w="850" w:type="dxa"/>
            <w:vAlign w:val="center"/>
          </w:tcPr>
          <w:p>
            <w:pPr>
              <w:pStyle w:val="14"/>
            </w:pPr>
            <w:r>
              <w:t>0.50</w:t>
            </w:r>
          </w:p>
        </w:tc>
        <w:tc>
          <w:tcPr>
            <w:tcW w:w="964"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人大代表执法检查工作经费</w:t>
            </w:r>
          </w:p>
        </w:tc>
        <w:tc>
          <w:tcPr>
            <w:tcW w:w="964" w:type="dxa"/>
            <w:vAlign w:val="center"/>
          </w:tcPr>
          <w:p>
            <w:pPr>
              <w:pStyle w:val="14"/>
            </w:pPr>
            <w:r>
              <w:t>131.22</w:t>
            </w:r>
          </w:p>
        </w:tc>
        <w:tc>
          <w:tcPr>
            <w:tcW w:w="1134" w:type="dxa"/>
            <w:vAlign w:val="center"/>
          </w:tcPr>
          <w:p>
            <w:pPr>
              <w:pStyle w:val="15"/>
            </w:pPr>
            <w:r>
              <w:t>复印机</w:t>
            </w:r>
          </w:p>
        </w:tc>
        <w:tc>
          <w:tcPr>
            <w:tcW w:w="1134" w:type="dxa"/>
            <w:vAlign w:val="center"/>
          </w:tcPr>
          <w:p>
            <w:pPr>
              <w:pStyle w:val="15"/>
            </w:pPr>
            <w:r>
              <w:t>A020201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1.60</w:t>
            </w:r>
          </w:p>
        </w:tc>
        <w:tc>
          <w:tcPr>
            <w:tcW w:w="964" w:type="dxa"/>
            <w:vAlign w:val="center"/>
          </w:tcPr>
          <w:p>
            <w:pPr>
              <w:pStyle w:val="14"/>
            </w:pPr>
            <w:r>
              <w:t>1.60</w:t>
            </w:r>
          </w:p>
        </w:tc>
        <w:tc>
          <w:tcPr>
            <w:tcW w:w="964" w:type="dxa"/>
            <w:vAlign w:val="center"/>
          </w:tcPr>
          <w:p>
            <w:pPr>
              <w:pStyle w:val="14"/>
            </w:pPr>
            <w:r>
              <w:t>1.60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人大代表执法检查工作经费</w:t>
            </w:r>
          </w:p>
        </w:tc>
        <w:tc>
          <w:tcPr>
            <w:tcW w:w="964" w:type="dxa"/>
            <w:vAlign w:val="center"/>
          </w:tcPr>
          <w:p>
            <w:pPr>
              <w:pStyle w:val="14"/>
            </w:pPr>
            <w:r>
              <w:t>131.22</w:t>
            </w:r>
          </w:p>
        </w:tc>
        <w:tc>
          <w:tcPr>
            <w:tcW w:w="1134" w:type="dxa"/>
            <w:vAlign w:val="center"/>
          </w:tcPr>
          <w:p>
            <w:pPr>
              <w:pStyle w:val="15"/>
            </w:pPr>
            <w:r>
              <w:t>速印机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3.50</w:t>
            </w:r>
          </w:p>
        </w:tc>
        <w:tc>
          <w:tcPr>
            <w:tcW w:w="964" w:type="dxa"/>
            <w:vAlign w:val="center"/>
          </w:tcPr>
          <w:p>
            <w:pPr>
              <w:pStyle w:val="14"/>
            </w:pPr>
            <w:r>
              <w:t>3.50</w:t>
            </w:r>
          </w:p>
        </w:tc>
        <w:tc>
          <w:tcPr>
            <w:tcW w:w="964" w:type="dxa"/>
            <w:vAlign w:val="center"/>
          </w:tcPr>
          <w:p>
            <w:pPr>
              <w:pStyle w:val="14"/>
            </w:pPr>
            <w:r>
              <w:t>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0.50</w:t>
            </w:r>
          </w:p>
        </w:tc>
        <w:tc>
          <w:tcPr>
            <w:tcW w:w="964" w:type="dxa"/>
            <w:vAlign w:val="center"/>
          </w:tcPr>
          <w:p>
            <w:pPr>
              <w:pStyle w:val="14"/>
            </w:pPr>
            <w:r>
              <w:t>2.50</w:t>
            </w:r>
          </w:p>
        </w:tc>
        <w:tc>
          <w:tcPr>
            <w:tcW w:w="964" w:type="dxa"/>
            <w:vAlign w:val="center"/>
          </w:tcPr>
          <w:p>
            <w:pPr>
              <w:pStyle w:val="14"/>
            </w:pPr>
            <w:r>
              <w:t>2.50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便携式计算机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激光打印机</w:t>
            </w:r>
          </w:p>
        </w:tc>
        <w:tc>
          <w:tcPr>
            <w:tcW w:w="1134" w:type="dxa"/>
            <w:vAlign w:val="center"/>
          </w:tcPr>
          <w:p>
            <w:pPr>
              <w:pStyle w:val="15"/>
            </w:pPr>
            <w:r>
              <w:t>A0201060102</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0.50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木制台、桌类</w:t>
            </w:r>
          </w:p>
        </w:tc>
        <w:tc>
          <w:tcPr>
            <w:tcW w:w="1134" w:type="dxa"/>
            <w:vAlign w:val="center"/>
          </w:tcPr>
          <w:p>
            <w:pPr>
              <w:pStyle w:val="15"/>
            </w:pPr>
            <w:r>
              <w:t>A060205</w:t>
            </w:r>
          </w:p>
        </w:tc>
        <w:tc>
          <w:tcPr>
            <w:tcW w:w="709" w:type="dxa"/>
            <w:vAlign w:val="center"/>
          </w:tcPr>
          <w:p>
            <w:pPr>
              <w:pStyle w:val="16"/>
            </w:pPr>
            <w:r>
              <w:t>张</w:t>
            </w:r>
          </w:p>
        </w:tc>
        <w:tc>
          <w:tcPr>
            <w:tcW w:w="850" w:type="dxa"/>
            <w:vAlign w:val="center"/>
          </w:tcPr>
          <w:p>
            <w:pPr>
              <w:pStyle w:val="14"/>
            </w:pPr>
            <w:r>
              <w:t>2</w:t>
            </w:r>
          </w:p>
        </w:tc>
        <w:tc>
          <w:tcPr>
            <w:tcW w:w="850" w:type="dxa"/>
            <w:vAlign w:val="center"/>
          </w:tcPr>
          <w:p>
            <w:pPr>
              <w:pStyle w:val="14"/>
            </w:pPr>
            <w:r>
              <w:t>0.30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木骨架为主的椅凳类</w:t>
            </w:r>
          </w:p>
        </w:tc>
        <w:tc>
          <w:tcPr>
            <w:tcW w:w="1134" w:type="dxa"/>
            <w:vAlign w:val="center"/>
          </w:tcPr>
          <w:p>
            <w:pPr>
              <w:pStyle w:val="15"/>
            </w:pPr>
            <w:r>
              <w:t>A060302</w:t>
            </w:r>
          </w:p>
        </w:tc>
        <w:tc>
          <w:tcPr>
            <w:tcW w:w="709" w:type="dxa"/>
            <w:vAlign w:val="center"/>
          </w:tcPr>
          <w:p>
            <w:pPr>
              <w:pStyle w:val="16"/>
            </w:pPr>
            <w:r>
              <w:t>张</w:t>
            </w:r>
          </w:p>
        </w:tc>
        <w:tc>
          <w:tcPr>
            <w:tcW w:w="850" w:type="dxa"/>
            <w:vAlign w:val="center"/>
          </w:tcPr>
          <w:p>
            <w:pPr>
              <w:pStyle w:val="14"/>
            </w:pPr>
            <w:r>
              <w:t>2</w:t>
            </w:r>
          </w:p>
        </w:tc>
        <w:tc>
          <w:tcPr>
            <w:tcW w:w="850" w:type="dxa"/>
            <w:vAlign w:val="center"/>
          </w:tcPr>
          <w:p>
            <w:pPr>
              <w:pStyle w:val="14"/>
            </w:pPr>
            <w:r>
              <w:t>0.15</w:t>
            </w:r>
          </w:p>
        </w:tc>
        <w:tc>
          <w:tcPr>
            <w:tcW w:w="964" w:type="dxa"/>
            <w:vAlign w:val="center"/>
          </w:tcPr>
          <w:p>
            <w:pPr>
              <w:pStyle w:val="14"/>
            </w:pPr>
            <w:r>
              <w:t>0.30</w:t>
            </w:r>
          </w:p>
        </w:tc>
        <w:tc>
          <w:tcPr>
            <w:tcW w:w="964" w:type="dxa"/>
            <w:vAlign w:val="center"/>
          </w:tcPr>
          <w:p>
            <w:pPr>
              <w:pStyle w:val="14"/>
            </w:pPr>
            <w:r>
              <w:t>0.30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选举、任免工作经费</w:t>
            </w:r>
          </w:p>
        </w:tc>
        <w:tc>
          <w:tcPr>
            <w:tcW w:w="964" w:type="dxa"/>
            <w:vAlign w:val="center"/>
          </w:tcPr>
          <w:p>
            <w:pPr>
              <w:pStyle w:val="14"/>
            </w:pPr>
            <w:r>
              <w:t>14.58</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0.50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640"/>
        <w:outlineLvl w:val="5"/>
        <w:rPr>
          <w:sz w:val="28"/>
          <w:szCs w:val="28"/>
        </w:rPr>
      </w:pPr>
      <w:r>
        <w:rPr>
          <w:rFonts w:ascii="黑体" w:hAnsi="黑体" w:eastAsia="黑体" w:cs="黑体"/>
          <w:color w:val="000000"/>
          <w:sz w:val="28"/>
          <w:szCs w:val="28"/>
        </w:rPr>
        <w:t>七、国有资产信息</w:t>
      </w:r>
    </w:p>
    <w:p>
      <w:pPr>
        <w:spacing w:line="500" w:lineRule="exact"/>
        <w:ind w:firstLine="560"/>
        <w:rPr>
          <w:sz w:val="28"/>
          <w:szCs w:val="28"/>
        </w:rPr>
      </w:pPr>
      <w:r>
        <w:rPr>
          <w:rFonts w:eastAsia="方正仿宋_GBK"/>
          <w:color w:val="000000"/>
          <w:sz w:val="28"/>
          <w:szCs w:val="28"/>
        </w:rPr>
        <w:t>张家口市人民代表大会常务委员会办公室本级上年末固定资产金额为424.19万元（详见下表）。本年度拟购置固定资产总额为11.10万元，已按要求列入政府采购预算，详见政府采购预算表。</w:t>
      </w:r>
    </w:p>
    <w:p>
      <w:pPr>
        <w:spacing w:line="500" w:lineRule="exact"/>
        <w:jc w:val="center"/>
        <w:rPr>
          <w:sz w:val="28"/>
          <w:szCs w:val="28"/>
        </w:rPr>
      </w:pPr>
      <w:r>
        <w:rPr>
          <w:rFonts w:ascii="方正小标宋_GBK" w:hAnsi="方正小标宋_GBK" w:eastAsia="方正小标宋_GBK" w:cs="方正小标宋_GBK"/>
          <w:color w:val="000000"/>
          <w:sz w:val="28"/>
          <w:szCs w:val="28"/>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101001张家口市人民代表大会常务委员会办公室本级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pPr>
            <w:r>
              <w:t>424.19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pPr>
            <w:r>
              <w:t>4</w:t>
            </w:r>
          </w:p>
        </w:tc>
        <w:tc>
          <w:tcPr>
            <w:tcW w:w="2835" w:type="dxa"/>
            <w:vAlign w:val="center"/>
          </w:tcPr>
          <w:p>
            <w:pPr>
              <w:pStyle w:val="14"/>
            </w:pPr>
            <w:r>
              <w:t>84.08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r>
              <w:t>1</w:t>
            </w:r>
          </w:p>
        </w:tc>
        <w:tc>
          <w:tcPr>
            <w:tcW w:w="2835" w:type="dxa"/>
            <w:vAlign w:val="center"/>
          </w:tcPr>
          <w:p>
            <w:pPr>
              <w:pStyle w:val="14"/>
            </w:pPr>
            <w:r>
              <w:t>56.60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pPr>
            <w:r>
              <w:t>562</w:t>
            </w:r>
          </w:p>
        </w:tc>
        <w:tc>
          <w:tcPr>
            <w:tcW w:w="2835" w:type="dxa"/>
            <w:vAlign w:val="center"/>
          </w:tcPr>
          <w:p>
            <w:pPr>
              <w:pStyle w:val="14"/>
            </w:pPr>
            <w:r>
              <w:t>283.51</w:t>
            </w:r>
          </w:p>
        </w:tc>
      </w:tr>
    </w:tbl>
    <w:p>
      <w:pPr>
        <w:spacing w:line="500" w:lineRule="exact"/>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9822"/>
      <w:docPartObj>
        <w:docPartGallery w:val="autotext"/>
      </w:docPartObj>
    </w:sdtPr>
    <w:sdtContent>
      <w:p>
        <w:pPr>
          <w:pStyle w:val="2"/>
          <w:jc w:val="right"/>
        </w:pPr>
        <w:r>
          <w:fldChar w:fldCharType="begin"/>
        </w:r>
        <w:r>
          <w:instrText xml:space="preserve"> PAGE   \* MERGEFORMAT </w:instrText>
        </w:r>
        <w:r>
          <w:fldChar w:fldCharType="separate"/>
        </w:r>
        <w:r>
          <w:rPr>
            <w:lang w:val="zh-CN"/>
          </w:rPr>
          <w:t>30</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9821"/>
      <w:docPartObj>
        <w:docPartGallery w:val="autotext"/>
      </w:docPartObj>
    </w:sdtPr>
    <w:sdtContent>
      <w:p>
        <w:pPr>
          <w:pStyle w:val="2"/>
          <w:jc w:val="right"/>
        </w:pPr>
        <w:r>
          <w:fldChar w:fldCharType="begin"/>
        </w:r>
        <w:r>
          <w:instrText xml:space="preserve"> PAGE   \* MERGEFORMAT </w:instrText>
        </w:r>
        <w:r>
          <w:fldChar w:fldCharType="separate"/>
        </w:r>
        <w:r>
          <w:rPr>
            <w:lang w:val="zh-CN"/>
          </w:rPr>
          <w:t>34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hNWQzNDlhY2ZmYzBiZGMzMDllM2ViNmVhNDI5NDgifQ=="/>
  </w:docVars>
  <w:rsids>
    <w:rsidRoot w:val="004F5D57"/>
    <w:rsid w:val="004F5D57"/>
    <w:rsid w:val="00D257F5"/>
    <w:rsid w:val="0B0C5EE1"/>
    <w:rsid w:val="1D9F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TOC 1"/>
    <w:basedOn w:val="1"/>
    <w:qFormat/>
    <w:uiPriority w:val="0"/>
    <w:pPr>
      <w:spacing w:before="120"/>
      <w:ind w:firstLine="560"/>
    </w:pPr>
    <w:rPr>
      <w:rFonts w:eastAsia="方正仿宋_GBK"/>
      <w:color w:val="000000"/>
      <w:sz w:val="28"/>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2312</Words>
  <Characters>13180</Characters>
  <Lines>109</Lines>
  <Paragraphs>30</Paragraphs>
  <TotalTime>9</TotalTime>
  <ScaleCrop>false</ScaleCrop>
  <LinksUpToDate>false</LinksUpToDate>
  <CharactersWithSpaces>15462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2022-03-10T01:48:00Z</dcterms:created>
  <dc:creator>lenovo</dc:creator>
  <cp:lastModifiedBy>Administrator</cp:lastModifiedBy>
  <dcterms:modified xsi:type="dcterms:W3CDTF">2023-11-03T09:13:07Z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60FEF855AAB4495F8062FF72A7E5BF92_12</vt:lpwstr>
  </property>
</Properties>
</file>