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关于全市法院审判监督工作的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调 研 报 告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书面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7" w:beforeLines="50" w:beforeAutospacing="0" w:afterAutospacing="0" w:line="580" w:lineRule="exact"/>
        <w:ind w:left="0" w:right="0"/>
        <w:jc w:val="center"/>
        <w:textAlignment w:val="auto"/>
        <w:outlineLvl w:val="9"/>
        <w:rPr>
          <w:rFonts w:hint="eastAsia" w:ascii="楷体" w:hAnsi="楷体" w:eastAsia="楷体" w:cs="楷体"/>
          <w:kern w:val="2"/>
          <w:sz w:val="32"/>
          <w:szCs w:val="32"/>
          <w:lang w:val="en-US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  <w:t>张家口市人大常委会内务司法工作委员会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157" w:afterLines="50" w:afterAutospacing="0" w:line="580" w:lineRule="exact"/>
        <w:ind w:left="0" w:right="0"/>
        <w:jc w:val="center"/>
        <w:textAlignment w:val="auto"/>
        <w:outlineLvl w:val="9"/>
        <w:rPr>
          <w:rFonts w:hint="eastAsia" w:ascii="楷体" w:hAnsi="楷体" w:eastAsia="楷体" w:cs="楷体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  <w:t>（2018年12月6日）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市十四届人大常委会第十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次会议：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根据市人大常委会2018年工作安排，11月中旬，由市人大常委会常务副主任郭江带队，部分常委会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委员</w:t>
      </w:r>
      <w:r>
        <w:rPr>
          <w:rFonts w:hint="eastAsia" w:ascii="仿宋" w:hAnsi="仿宋" w:eastAsia="仿宋" w:cs="仿宋"/>
          <w:sz w:val="32"/>
          <w:szCs w:val="32"/>
        </w:rPr>
        <w:t>、内司委委员组成调研组，深入到涿鹿县、赤城县和宣化区法院、涿鹿监狱等单位，采取实地检查、查阅案件、听取汇报、召开座谈会等形式，对全市法院审判监督工作情况进行了调研。现将调研情况报告如下：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一、全市法院审判监督工作的基本情况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近年来，全市两级法院紧紧围绕深化司法体制改革主题，坚持依法纠错与维护判决既判力、公信力原则，认真履行审判监督职能，不断强化内部监督，自觉接受外部监督，依法启动审判监督程序，有力地保护了当事人的合法权益，促进了社会公平正义，为新时代推进我市经济社会协调发展，维护社会和谐稳定发挥了积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（一）再审案件逐年上升，司法公信力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有效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提升。</w:t>
      </w:r>
      <w:r>
        <w:rPr>
          <w:rFonts w:hint="eastAsia" w:ascii="仿宋" w:hAnsi="仿宋" w:eastAsia="仿宋" w:cs="仿宋"/>
          <w:sz w:val="32"/>
          <w:szCs w:val="32"/>
        </w:rPr>
        <w:t>2016年以来，两级法院依法审理当事人申诉、检察院抗诉及法院院长发现错误的再审案件4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</w:rPr>
        <w:t>件，再审案件数量呈逐年上升态势，其中，市中院再审案件277件，基层法院再审案件1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仿宋"/>
          <w:sz w:val="32"/>
          <w:szCs w:val="32"/>
        </w:rPr>
        <w:t>件，及时纠正了错误裁判，维护了生效裁判的稳定性和权威，有力地提高了司法公信力。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4557395" cy="2554605"/>
            <wp:effectExtent l="4445" t="4445" r="10160" b="1270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2016年当事人申请的再审案件47件，2017年53件，2018年1-10月份就达68件，</w:t>
      </w:r>
      <w:r>
        <w:rPr>
          <w:rFonts w:hint="eastAsia" w:ascii="仿宋" w:hAnsi="仿宋" w:eastAsia="仿宋" w:cs="仿宋"/>
          <w:sz w:val="32"/>
          <w:szCs w:val="32"/>
        </w:rPr>
        <w:t>再审案件的逐年上升，说明随着依法治国理念和实践的不断推进，人民群众对法院公正司法的信赖度不断加强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信法不信访的局面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有所改观</w:t>
      </w:r>
      <w:r>
        <w:rPr>
          <w:rFonts w:hint="eastAsia" w:ascii="仿宋" w:hAnsi="仿宋" w:eastAsia="仿宋" w:cs="仿宋"/>
          <w:sz w:val="32"/>
          <w:szCs w:val="32"/>
        </w:rPr>
        <w:t>。市中院2016年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民事、行政</w:t>
      </w:r>
      <w:r>
        <w:rPr>
          <w:rFonts w:hint="eastAsia" w:ascii="仿宋" w:hAnsi="仿宋" w:eastAsia="仿宋" w:cs="仿宋"/>
          <w:sz w:val="32"/>
          <w:szCs w:val="32"/>
        </w:rPr>
        <w:t>再审发还改判率分别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59%、60%</w:t>
      </w:r>
      <w:r>
        <w:rPr>
          <w:rFonts w:hint="eastAsia" w:ascii="仿宋" w:hAnsi="仿宋" w:eastAsia="仿宋" w:cs="仿宋"/>
          <w:sz w:val="32"/>
          <w:szCs w:val="32"/>
        </w:rPr>
        <w:t>、2017年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分别为54%、100</w:t>
      </w:r>
      <w:r>
        <w:rPr>
          <w:rFonts w:hint="eastAsia" w:ascii="仿宋" w:hAnsi="仿宋" w:eastAsia="仿宋" w:cs="仿宋"/>
          <w:sz w:val="32"/>
          <w:szCs w:val="32"/>
        </w:rPr>
        <w:t>%，再审纠错功能明显增强，司法公信力有效提升。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纠错职能发挥充分，再审机制不断完善。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建立了专业化审判团队。</w:t>
      </w:r>
      <w:r>
        <w:rPr>
          <w:rFonts w:hint="eastAsia" w:ascii="仿宋" w:hAnsi="仿宋" w:eastAsia="仿宋" w:cs="仿宋"/>
          <w:sz w:val="32"/>
          <w:szCs w:val="32"/>
        </w:rPr>
        <w:t>针对再审案件普遍存在的“法律关系复杂、事实复杂、适用法律复杂”的现状，市县两级法院在内设机构改革中，普遍明确了审判监督庭建制，组建了业务能力强的专业化审判团队，为审判监督工作的有效开展奠定了坚实的基础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二是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坚持有效调解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积极运用说服引导、明理释法等方式，有效化解多年的涉诉信访积案，市中院2017年审结的91件民商事案件中，调撤20件，调撤率高达22%，有效发挥了调解的息诉止纷作用，受到了市委领导的肯定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三是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坚持分析研判</w:t>
      </w:r>
      <w:r>
        <w:rPr>
          <w:rFonts w:hint="eastAsia" w:ascii="楷体" w:hAnsi="楷体" w:eastAsia="楷体" w:cs="楷体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建立分析研判机制，出台《审监动态》，对所有进入再审程序的案件，逐一进行分析，剖析错审错判原因，提出避免错案的路径和方法，对提高市县两级法院审判质量起到了积极地推动作用，这一创新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做</w:t>
      </w:r>
      <w:r>
        <w:rPr>
          <w:rFonts w:hint="eastAsia" w:ascii="仿宋" w:hAnsi="仿宋" w:eastAsia="仿宋" w:cs="仿宋"/>
          <w:sz w:val="32"/>
          <w:szCs w:val="32"/>
        </w:rPr>
        <w:t>法走到了全省前列，得到省高院的肯定。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四是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注重源头管理。</w:t>
      </w:r>
      <w:r>
        <w:rPr>
          <w:rFonts w:hint="eastAsia" w:ascii="仿宋" w:hAnsi="仿宋" w:eastAsia="仿宋" w:cs="仿宋"/>
          <w:sz w:val="32"/>
          <w:szCs w:val="32"/>
        </w:rPr>
        <w:t>加强案件质效管理，注重对基层法院的审级监督和业务指导，从源头减少再审案件发生。建立再审案件与法官绩效考核挂钩制度，通过办案考核，督促法官提高办案标准，提升办案质量。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（三）主动接受外部监督，法律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效果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和社会效果明显增强。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检察监督成效明显</w:t>
      </w:r>
      <w:r>
        <w:rPr>
          <w:rFonts w:hint="eastAsia" w:ascii="仿宋" w:hAnsi="仿宋" w:eastAsia="仿宋" w:cs="仿宋"/>
          <w:sz w:val="32"/>
          <w:szCs w:val="32"/>
        </w:rPr>
        <w:t>。市县两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级</w:t>
      </w:r>
      <w:r>
        <w:rPr>
          <w:rFonts w:hint="eastAsia" w:ascii="仿宋" w:hAnsi="仿宋" w:eastAsia="仿宋" w:cs="仿宋"/>
          <w:sz w:val="32"/>
          <w:szCs w:val="32"/>
        </w:rPr>
        <w:t>法院自觉接受检察机关法律监督，对检察机关提起抗诉的案件，一律开庭审理，对于确有错误的案件依法改判或发回重审。近三年来，检察机关共提起抗诉案件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仿宋"/>
          <w:sz w:val="32"/>
          <w:szCs w:val="32"/>
        </w:rPr>
        <w:t>件，抗诉案件逐年上升，占全部再审案件的19%，充分发挥了检察机关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法律监督作用。建立完善检察长列席同级审委会常态化机制，与市检察院联合出台检察长列席审委会工作的实施意见，强化检察院审判监督，提高了再审案件的审判质效。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二是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人大及社会监督有声有色</w:t>
      </w:r>
      <w:r>
        <w:rPr>
          <w:rFonts w:hint="eastAsia" w:ascii="仿宋" w:hAnsi="仿宋" w:eastAsia="仿宋" w:cs="仿宋"/>
          <w:sz w:val="32"/>
          <w:szCs w:val="32"/>
        </w:rPr>
        <w:t>。积极接受人大、政协及社会监督，主动邀请人大代表、政协委员和社会各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界</w:t>
      </w:r>
      <w:r>
        <w:rPr>
          <w:rFonts w:hint="eastAsia" w:ascii="仿宋" w:hAnsi="仿宋" w:eastAsia="仿宋" w:cs="仿宋"/>
          <w:sz w:val="32"/>
          <w:szCs w:val="32"/>
        </w:rPr>
        <w:t>视察再审工作，认真办理人大代表、政协委员议案提案，得到了社会各界的认可；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三是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媒体监督意识增强。</w:t>
      </w:r>
      <w:r>
        <w:rPr>
          <w:rFonts w:hint="eastAsia" w:ascii="仿宋" w:hAnsi="仿宋" w:eastAsia="仿宋" w:cs="仿宋"/>
          <w:sz w:val="32"/>
          <w:szCs w:val="32"/>
        </w:rPr>
        <w:t>主动接受媒体监督，及时向媒体通报再审案件审判情况，扩大了审判监督的法律指引效应。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（四）减刑假释制度日臻完善，监狱审判成效显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著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审理质效明显提高。</w:t>
      </w:r>
      <w:r>
        <w:rPr>
          <w:rFonts w:hint="eastAsia" w:ascii="仿宋" w:hAnsi="仿宋" w:eastAsia="仿宋" w:cs="仿宋"/>
          <w:sz w:val="32"/>
          <w:szCs w:val="32"/>
        </w:rPr>
        <w:t>三年来，市中院共办理减刑、假释案件36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73</w:t>
      </w:r>
      <w:r>
        <w:rPr>
          <w:rFonts w:hint="eastAsia" w:ascii="仿宋" w:hAnsi="仿宋" w:eastAsia="仿宋" w:cs="仿宋"/>
          <w:sz w:val="32"/>
          <w:szCs w:val="32"/>
        </w:rPr>
        <w:t>件，结案率100%，走在了全省减刑、假释工作的前列。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二是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制度规范落实到位。</w:t>
      </w:r>
      <w:r>
        <w:rPr>
          <w:rFonts w:hint="eastAsia" w:ascii="仿宋" w:hAnsi="仿宋" w:eastAsia="仿宋" w:cs="仿宋"/>
          <w:sz w:val="32"/>
          <w:szCs w:val="32"/>
        </w:rPr>
        <w:t>严格落实中央政法委和最高人民法院关于减刑和假释的意见和规定，统一裁量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标</w:t>
      </w:r>
      <w:r>
        <w:rPr>
          <w:rFonts w:hint="eastAsia" w:ascii="仿宋" w:hAnsi="仿宋" w:eastAsia="仿宋" w:cs="仿宋"/>
          <w:sz w:val="32"/>
          <w:szCs w:val="32"/>
        </w:rPr>
        <w:t>准，严格把握三类罪犯的减刑标准和裁量幅度，实现了减刑、假释案件全部网上公开，减刑、假释案件裁判文书全部网上公布，“三类”减刑、假释案件全部公开开庭审理，确保了减刑、假释工作在阳光下进行。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三是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裁量标准实现创新突破。不</w:t>
      </w:r>
      <w:r>
        <w:rPr>
          <w:rFonts w:hint="eastAsia" w:ascii="仿宋" w:hAnsi="仿宋" w:eastAsia="仿宋" w:cs="仿宋"/>
          <w:sz w:val="32"/>
          <w:szCs w:val="32"/>
        </w:rPr>
        <w:t>断总结减刑案件办案经验，加大减刑案件量化幅度，探索出减刑幅度与财产性判项的履行挂钩的裁量新标准，被吸纳入最高人民法院司法解释。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（一）对审监工作重要性认识不够到位</w:t>
      </w:r>
      <w:r>
        <w:rPr>
          <w:rFonts w:hint="eastAsia" w:ascii="仿宋" w:hAnsi="仿宋" w:eastAsia="仿宋" w:cs="仿宋"/>
          <w:sz w:val="32"/>
          <w:szCs w:val="32"/>
        </w:rPr>
        <w:t>。基层法院审判部门接受监督意识不强，不愿接受监督的倾向存在。有的法官存在不愿监督、不敢监督的思想，在一定程度上制约了审判监督工作的开展。调研的三县区中，赤城县三年共审理再审案件18件，本院发现错误主动提起的仅有4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;</w:t>
      </w:r>
      <w:r>
        <w:rPr>
          <w:rFonts w:hint="eastAsia" w:ascii="仿宋" w:hAnsi="仿宋" w:eastAsia="仿宋" w:cs="仿宋"/>
          <w:sz w:val="32"/>
          <w:szCs w:val="32"/>
        </w:rPr>
        <w:t>宣传区24件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本院主动提起仅3件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;</w:t>
      </w:r>
      <w:r>
        <w:rPr>
          <w:rFonts w:hint="eastAsia" w:ascii="仿宋" w:hAnsi="仿宋" w:eastAsia="仿宋" w:cs="仿宋"/>
          <w:sz w:val="32"/>
          <w:szCs w:val="32"/>
        </w:rPr>
        <w:t>涿鹿县3件，均为指令再审案件。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（二）审监机制需要进一步完善。</w:t>
      </w:r>
      <w:r>
        <w:rPr>
          <w:rFonts w:hint="eastAsia" w:ascii="仿宋" w:hAnsi="仿宋" w:eastAsia="仿宋" w:cs="仿宋"/>
          <w:sz w:val="32"/>
          <w:szCs w:val="32"/>
        </w:rPr>
        <w:t>有的基层法院审判监督与审管办、立案庭工作衔接不畅，审判流程管理流于形式、应付评查走过场等现象依然存在。法院案件评查、办案考核等内部监督机制需要进一步细化，对审判工作的全程监督有待加强。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（三）审监质效需要进一步提升</w:t>
      </w:r>
      <w:r>
        <w:rPr>
          <w:rFonts w:hint="eastAsia" w:ascii="仿宋" w:hAnsi="仿宋" w:eastAsia="仿宋" w:cs="仿宋"/>
          <w:sz w:val="32"/>
          <w:szCs w:val="32"/>
        </w:rPr>
        <w:t>。存在结案率偏低，办案效率不高，就案办案、机械办案的问题。个别案件存在多次申诉、多次再审，案结事未了的情况，既影响了生效判决的既判力和权威性，又在一定程度上导致涉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诉</w:t>
      </w:r>
      <w:r>
        <w:rPr>
          <w:rFonts w:hint="eastAsia" w:ascii="仿宋" w:hAnsi="仿宋" w:eastAsia="仿宋" w:cs="仿宋"/>
          <w:sz w:val="32"/>
          <w:szCs w:val="32"/>
        </w:rPr>
        <w:t>信访量的持续偏高。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（四）队伍建设需要进一步强化</w:t>
      </w:r>
      <w:r>
        <w:rPr>
          <w:rFonts w:hint="eastAsia" w:ascii="仿宋" w:hAnsi="仿宋" w:eastAsia="仿宋" w:cs="仿宋"/>
          <w:sz w:val="32"/>
          <w:szCs w:val="32"/>
        </w:rPr>
        <w:t>。审判监督案件案情复杂、当事人矛盾突出、化解难度大，对法官的业务素质要求高，但目前全市法院审判监督力量整体偏弱，审判监督队伍人员少、法官司法水平和化解矛盾的能力不强，释法说理水平不高，不能完全满足新时代审判监督工作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三、几点建议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（一）要提高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思想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认识，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不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断增强审判监督意识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增强责任意识。审判监督工作是法院保障司法公正的最后一道关口，全市各级法院要高度重视，把审判监督摆在更加突出的位置，列入重要议事日程，通过加强审判监督，落实司法为民要求。二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增强平等保护意识。要依法保障当事人申诉和申请再审的权利，避免当事人因申诉无门而去涉诉信访。三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增强纠错意识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切实履行审判监督职责，依法纠错，实现案结事了，让人民群众从每一个再审案件中感受到公平正义。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（二）要完善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监督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机制，不断提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升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再审公信力</w:t>
      </w:r>
      <w:r>
        <w:rPr>
          <w:rFonts w:hint="eastAsia" w:ascii="仿宋" w:hAnsi="仿宋" w:eastAsia="仿宋" w:cs="仿宋"/>
          <w:sz w:val="32"/>
          <w:szCs w:val="32"/>
        </w:rPr>
        <w:t>。一要加强内部监督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建立科学的考核评价体系，严格差错案件责任倒查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机制</w:t>
      </w:r>
      <w:r>
        <w:rPr>
          <w:rFonts w:hint="eastAsia" w:ascii="仿宋" w:hAnsi="仿宋" w:eastAsia="仿宋" w:cs="仿宋"/>
          <w:sz w:val="32"/>
          <w:szCs w:val="32"/>
        </w:rPr>
        <w:t>，建立健全再审案件与法官绩效考核挂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钩</w:t>
      </w:r>
      <w:r>
        <w:rPr>
          <w:rFonts w:hint="eastAsia" w:ascii="仿宋" w:hAnsi="仿宋" w:eastAsia="仿宋" w:cs="仿宋"/>
          <w:sz w:val="32"/>
          <w:szCs w:val="32"/>
        </w:rPr>
        <w:t>机制，审判监督与案件管理联动机制，建立改判、发回案件分析通报制度，加强类案的分析研判，及时总结经验教训，防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止</w:t>
      </w:r>
      <w:r>
        <w:rPr>
          <w:rFonts w:hint="eastAsia" w:ascii="仿宋" w:hAnsi="仿宋" w:eastAsia="仿宋" w:cs="仿宋"/>
          <w:sz w:val="32"/>
          <w:szCs w:val="32"/>
        </w:rPr>
        <w:t>和减少瑕疵案件、差错案件的发生。二要深化检察院法律监督。积极审理检察机关的抗诉案件，加强与检察机关的沟通联系，建立健全新型法律监督机制，实现监督与被监督的良性互动。三要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增强社会监督</w:t>
      </w:r>
      <w:r>
        <w:rPr>
          <w:rFonts w:hint="eastAsia" w:ascii="仿宋" w:hAnsi="仿宋" w:eastAsia="仿宋" w:cs="仿宋"/>
          <w:sz w:val="32"/>
          <w:szCs w:val="32"/>
        </w:rPr>
        <w:t>。加强司法宣传，实现再审庭审、判决书等应当公开的全部公开，邀请人大代表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政协委员及社会各界参加旁听庭审、视察等工作，广泛接受社会各界监督，增强人民群众对司法工作的理解和支持。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i w:val="0"/>
          <w:iCs w:val="0"/>
          <w:sz w:val="32"/>
          <w:szCs w:val="32"/>
        </w:rPr>
        <w:t>（三）要规范</w:t>
      </w:r>
      <w:r>
        <w:rPr>
          <w:rFonts w:hint="eastAsia" w:ascii="楷体" w:hAnsi="楷体" w:eastAsia="楷体" w:cs="楷体"/>
          <w:b/>
          <w:bCs/>
          <w:i w:val="0"/>
          <w:iCs w:val="0"/>
          <w:sz w:val="32"/>
          <w:szCs w:val="32"/>
          <w:lang w:val="en-US" w:eastAsia="zh-CN"/>
        </w:rPr>
        <w:t>审判</w:t>
      </w:r>
      <w:r>
        <w:rPr>
          <w:rFonts w:hint="eastAsia" w:ascii="楷体" w:hAnsi="楷体" w:eastAsia="楷体" w:cs="楷体"/>
          <w:b/>
          <w:bCs/>
          <w:i w:val="0"/>
          <w:iCs w:val="0"/>
          <w:sz w:val="32"/>
          <w:szCs w:val="32"/>
        </w:rPr>
        <w:t>程序，不断提高再审质效</w:t>
      </w:r>
      <w:r>
        <w:rPr>
          <w:rFonts w:hint="eastAsia" w:ascii="仿宋" w:hAnsi="仿宋" w:eastAsia="仿宋" w:cs="仿宋"/>
          <w:sz w:val="32"/>
          <w:szCs w:val="32"/>
        </w:rPr>
        <w:t>。一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进一步落实司法责任制，充分发挥再审团队职能作用，坚持做到调判结合，智慧司法，依法纠正原审裁判中的错误或不当，增强再审裁判文书的释法说理，促进矛盾化解，实现法律效果和社会效果的统一。二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积极做好再审案件的立案审查工作，切实提高诉讼服务水平和审查效率，保障当事人的诉讼权利。坚持公正与效率并重，强化审判流程管理，对立案、庭审、裁判以及执行等各个环节都明确完成时限和工作标准，并狠抓监督落实。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严格案件质量和发改案件通报制度，建立科学的再审启动程序，规范再审案件立案、主体、时效、程序，落实审判监督工作的各项措施，理顺法院各相关部门的职责，加强协调配合，不断提高审判监督工作的质量和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（四）要提升能力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素质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，不断加强队伍建设。</w:t>
      </w:r>
      <w:r>
        <w:rPr>
          <w:rFonts w:hint="eastAsia" w:ascii="仿宋" w:hAnsi="仿宋" w:eastAsia="仿宋" w:cs="仿宋"/>
          <w:sz w:val="32"/>
          <w:szCs w:val="32"/>
        </w:rPr>
        <w:t>高素质的审判监督队伍是做好审监工作的保证。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一要</w:t>
      </w:r>
      <w:r>
        <w:rPr>
          <w:rFonts w:hint="eastAsia" w:ascii="仿宋" w:hAnsi="仿宋" w:eastAsia="仿宋" w:cs="仿宋"/>
          <w:sz w:val="32"/>
          <w:szCs w:val="32"/>
        </w:rPr>
        <w:t>充实审判监督力量，将经验丰富、素质高、能力强的法官调整充实到审判监督队伍中，确保审判监督工作的高效开展。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二要</w:t>
      </w:r>
      <w:r>
        <w:rPr>
          <w:rFonts w:hint="eastAsia" w:ascii="仿宋" w:hAnsi="仿宋" w:eastAsia="仿宋" w:cs="仿宋"/>
          <w:sz w:val="32"/>
          <w:szCs w:val="32"/>
        </w:rPr>
        <w:t>加强教育培训，提高法官依法办案、释法析理、化解矛盾、做群众工作、解决实际问题的能力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三要</w:t>
      </w:r>
      <w:r>
        <w:rPr>
          <w:rFonts w:hint="eastAsia" w:ascii="仿宋" w:hAnsi="仿宋" w:eastAsia="仿宋" w:cs="仿宋"/>
          <w:sz w:val="32"/>
          <w:szCs w:val="32"/>
        </w:rPr>
        <w:t>强化廉政监督，切实防止“人情案、关系案、金钱案”，努力建设一支司法廉洁、执法公正的高素质的审判监督队伍。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519" w:bottom="1440" w:left="1519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71152"/>
    <w:rsid w:val="01FF0594"/>
    <w:rsid w:val="07540662"/>
    <w:rsid w:val="07D71BC8"/>
    <w:rsid w:val="08A21F20"/>
    <w:rsid w:val="0D7E338D"/>
    <w:rsid w:val="198A0186"/>
    <w:rsid w:val="1BE20058"/>
    <w:rsid w:val="2B0B6293"/>
    <w:rsid w:val="2CB756F2"/>
    <w:rsid w:val="418865B8"/>
    <w:rsid w:val="4E471681"/>
    <w:rsid w:val="56551EB9"/>
    <w:rsid w:val="58FD6B46"/>
    <w:rsid w:val="59F71152"/>
    <w:rsid w:val="5DC8010B"/>
    <w:rsid w:val="6BE22B3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chart" Target="charts/chart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msm\AppData\Roaming\Kingsoft\wps\addons\pool\win-i386\knewfileruby_1.0.0.12\template\wps\0.doc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1"/>
              <a:t>2016年-2018年度全市中法院再审案件情况</a:t>
            </a:r>
            <a:endParaRPr b="1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市中院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Sheet1!$A$2:$A$4</c:f>
              <c:strCache>
                <c:ptCount val="3"/>
                <c:pt idx="0">
                  <c:v>2016年</c:v>
                </c:pt>
                <c:pt idx="1">
                  <c:v>2017年</c:v>
                </c:pt>
                <c:pt idx="2">
                  <c:v>2018年（1-10月）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69</c:v>
                </c:pt>
                <c:pt idx="1">
                  <c:v>106</c:v>
                </c:pt>
                <c:pt idx="2">
                  <c:v>102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基层法院</c:v>
                </c:pt>
              </c:strCache>
            </c:strRef>
          </c:tx>
          <c:spPr>
            <a:solidFill>
              <a:schemeClr val="bg2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bg2"/>
              </a:solidFill>
              <a:ln>
                <a:noFill/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chemeClr val="bg2"/>
              </a:solidFill>
              <a:ln>
                <a:noFill/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chemeClr val="bg2"/>
              </a:solidFill>
              <a:ln>
                <a:noFill/>
              </a:ln>
              <a:effectLst/>
            </c:spPr>
          </c:dPt>
          <c:dLbls>
            <c:delete val="1"/>
          </c:dLbls>
          <c:cat>
            <c:strRef>
              <c:f>Sheet1!$A$2:$A$4</c:f>
              <c:strCache>
                <c:ptCount val="3"/>
                <c:pt idx="0">
                  <c:v>2016年</c:v>
                </c:pt>
                <c:pt idx="1">
                  <c:v>2017年</c:v>
                </c:pt>
                <c:pt idx="2">
                  <c:v>2018年（1-10月）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52</c:v>
                </c:pt>
                <c:pt idx="1">
                  <c:v>66</c:v>
                </c:pt>
                <c:pt idx="2">
                  <c:v>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28444390"/>
        <c:axId val="96977151"/>
      </c:barChart>
      <c:catAx>
        <c:axId val="22844439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77151"/>
        <c:crosses val="autoZero"/>
        <c:auto val="1"/>
        <c:lblAlgn val="ctr"/>
        <c:lblOffset val="100"/>
        <c:noMultiLvlLbl val="0"/>
      </c:catAx>
      <c:valAx>
        <c:axId val="969771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2844439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TotalTime>22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2018-11-26T01:04:00Z</dcterms:created>
  <dc:creator>xmsm</dc:creator>
  <cp:lastModifiedBy>xmsm</cp:lastModifiedBy>
  <cp:lastPrinted>2018-11-28T09:49:00Z</cp:lastPrinted>
  <dcterms:modified xsi:type="dcterms:W3CDTF">2018-12-04T07:40:52Z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